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B7F" w:rsidRPr="00A37E13" w:rsidRDefault="00361B7F" w:rsidP="00D1146D">
      <w:pPr>
        <w:pStyle w:val="CRCoverPage"/>
        <w:tabs>
          <w:tab w:val="right" w:pos="9639"/>
          <w:tab w:val="right" w:pos="13323"/>
        </w:tabs>
        <w:spacing w:after="0"/>
        <w:rPr>
          <w:rFonts w:cs="Arial"/>
          <w:b/>
          <w:sz w:val="24"/>
          <w:szCs w:val="24"/>
        </w:rPr>
      </w:pPr>
      <w:bookmarkStart w:id="0" w:name="_GoBack"/>
      <w:bookmarkEnd w:id="0"/>
      <w:r w:rsidRPr="00133CAF">
        <w:rPr>
          <w:rFonts w:cs="Arial"/>
          <w:b/>
          <w:sz w:val="24"/>
          <w:szCs w:val="24"/>
        </w:rPr>
        <w:t>3GPP TSG-RAN</w:t>
      </w:r>
      <w:r w:rsidRPr="000B67FE">
        <w:rPr>
          <w:rFonts w:cs="Arial"/>
          <w:b/>
          <w:sz w:val="24"/>
          <w:szCs w:val="24"/>
        </w:rPr>
        <w:t xml:space="preserve"> WG</w:t>
      </w:r>
      <w:r w:rsidR="002513FF">
        <w:rPr>
          <w:rFonts w:cs="Arial"/>
          <w:b/>
          <w:sz w:val="24"/>
          <w:szCs w:val="24"/>
        </w:rPr>
        <w:t>1 e-Meeting #105</w:t>
      </w:r>
      <w:r w:rsidRPr="00A37E13">
        <w:rPr>
          <w:rFonts w:cs="Arial"/>
          <w:b/>
          <w:sz w:val="24"/>
          <w:szCs w:val="24"/>
        </w:rPr>
        <w:tab/>
      </w:r>
      <w:r w:rsidRPr="000B67FE">
        <w:rPr>
          <w:rFonts w:cs="Arial"/>
          <w:b/>
          <w:sz w:val="24"/>
          <w:szCs w:val="24"/>
        </w:rPr>
        <w:t>R</w:t>
      </w:r>
      <w:r>
        <w:rPr>
          <w:rFonts w:cs="Arial"/>
          <w:b/>
          <w:sz w:val="24"/>
          <w:szCs w:val="24"/>
        </w:rPr>
        <w:t>1</w:t>
      </w:r>
      <w:r w:rsidRPr="000B67FE">
        <w:rPr>
          <w:rFonts w:cs="Arial"/>
          <w:b/>
          <w:sz w:val="24"/>
          <w:szCs w:val="24"/>
        </w:rPr>
        <w:t>-</w:t>
      </w:r>
      <w:r w:rsidRPr="00FB2F25">
        <w:t xml:space="preserve"> </w:t>
      </w:r>
      <w:r w:rsidR="00627ADD">
        <w:rPr>
          <w:rFonts w:cs="Arial"/>
          <w:b/>
          <w:sz w:val="24"/>
          <w:szCs w:val="24"/>
        </w:rPr>
        <w:t>21</w:t>
      </w:r>
      <w:r w:rsidR="007D69B4">
        <w:rPr>
          <w:rFonts w:cs="Arial"/>
          <w:b/>
          <w:sz w:val="24"/>
          <w:szCs w:val="24"/>
        </w:rPr>
        <w:t>05209</w:t>
      </w:r>
    </w:p>
    <w:p w:rsidR="002513FF" w:rsidRPr="009146A1" w:rsidRDefault="002513FF" w:rsidP="002513FF">
      <w:pPr>
        <w:pStyle w:val="CRCoverPage"/>
        <w:tabs>
          <w:tab w:val="right" w:pos="9639"/>
        </w:tabs>
        <w:spacing w:after="0"/>
        <w:rPr>
          <w:rFonts w:cs="Arial"/>
          <w:b/>
          <w:sz w:val="24"/>
        </w:rPr>
      </w:pPr>
      <w:r>
        <w:rPr>
          <w:rFonts w:cs="Arial"/>
          <w:b/>
          <w:sz w:val="24"/>
        </w:rPr>
        <w:t>May</w:t>
      </w:r>
      <w:r w:rsidRPr="00A37E13">
        <w:rPr>
          <w:rFonts w:cs="Arial"/>
          <w:b/>
          <w:sz w:val="24"/>
        </w:rPr>
        <w:t xml:space="preserve"> </w:t>
      </w:r>
      <w:r>
        <w:rPr>
          <w:rFonts w:cs="Arial"/>
          <w:b/>
          <w:sz w:val="24"/>
        </w:rPr>
        <w:t>10</w:t>
      </w:r>
      <w:r w:rsidRPr="00615D5A">
        <w:rPr>
          <w:rFonts w:cs="Arial"/>
          <w:b/>
          <w:sz w:val="24"/>
          <w:vertAlign w:val="superscript"/>
        </w:rPr>
        <w:t>th</w:t>
      </w:r>
      <w:r>
        <w:rPr>
          <w:rFonts w:cs="Arial"/>
          <w:b/>
          <w:sz w:val="24"/>
        </w:rPr>
        <w:t xml:space="preserve"> – May 27</w:t>
      </w:r>
      <w:r w:rsidRPr="00A37E13">
        <w:rPr>
          <w:rFonts w:cs="Arial"/>
          <w:b/>
          <w:sz w:val="24"/>
          <w:vertAlign w:val="superscript"/>
        </w:rPr>
        <w:t>th</w:t>
      </w:r>
      <w:r w:rsidRPr="00A37E13">
        <w:rPr>
          <w:rFonts w:cs="Arial"/>
          <w:b/>
          <w:sz w:val="24"/>
        </w:rPr>
        <w:t>, 20</w:t>
      </w:r>
      <w:r>
        <w:rPr>
          <w:rFonts w:cs="Arial"/>
          <w:b/>
          <w:sz w:val="24"/>
        </w:rPr>
        <w:t>21</w:t>
      </w:r>
    </w:p>
    <w:p w:rsidR="00361B7F" w:rsidRPr="00A37E13" w:rsidRDefault="00361B7F" w:rsidP="00361B7F">
      <w:pPr>
        <w:pStyle w:val="TdocHeader2"/>
        <w:tabs>
          <w:tab w:val="clear" w:pos="1701"/>
          <w:tab w:val="left" w:pos="2127"/>
        </w:tabs>
        <w:spacing w:before="240"/>
        <w:rPr>
          <w:rFonts w:cs="Arial"/>
          <w:sz w:val="24"/>
          <w:szCs w:val="24"/>
        </w:rPr>
      </w:pPr>
      <w:r w:rsidRPr="00A37E13">
        <w:rPr>
          <w:rFonts w:cs="Arial"/>
          <w:sz w:val="24"/>
          <w:szCs w:val="24"/>
        </w:rPr>
        <w:t>Title:</w:t>
      </w:r>
      <w:r w:rsidRPr="00A37E13">
        <w:rPr>
          <w:rFonts w:cs="Arial"/>
          <w:sz w:val="24"/>
          <w:szCs w:val="24"/>
        </w:rPr>
        <w:tab/>
      </w:r>
      <w:r w:rsidR="00E563B0">
        <w:rPr>
          <w:rFonts w:cs="Arial"/>
          <w:b w:val="0"/>
          <w:sz w:val="24"/>
          <w:szCs w:val="24"/>
        </w:rPr>
        <w:t>Discussion on Beam Management</w:t>
      </w:r>
      <w:r>
        <w:rPr>
          <w:rFonts w:cs="Arial"/>
          <w:b w:val="0"/>
          <w:sz w:val="24"/>
          <w:szCs w:val="24"/>
        </w:rPr>
        <w:t xml:space="preserve"> for NTN</w:t>
      </w:r>
    </w:p>
    <w:p w:rsidR="00361B7F" w:rsidRPr="00803965" w:rsidRDefault="00361B7F" w:rsidP="00361B7F">
      <w:pPr>
        <w:pStyle w:val="TdocHeader2"/>
        <w:tabs>
          <w:tab w:val="clear" w:pos="1701"/>
          <w:tab w:val="left" w:pos="2127"/>
        </w:tabs>
        <w:spacing w:before="240"/>
        <w:rPr>
          <w:rFonts w:cs="Arial"/>
          <w:sz w:val="24"/>
          <w:szCs w:val="24"/>
        </w:rPr>
      </w:pPr>
      <w:r w:rsidRPr="00A37E13">
        <w:rPr>
          <w:rFonts w:cs="Arial"/>
          <w:sz w:val="24"/>
          <w:szCs w:val="24"/>
        </w:rPr>
        <w:t xml:space="preserve">Source: </w:t>
      </w:r>
      <w:r w:rsidRPr="00A37E13">
        <w:rPr>
          <w:rFonts w:cs="Arial"/>
          <w:sz w:val="24"/>
          <w:szCs w:val="24"/>
        </w:rPr>
        <w:tab/>
      </w:r>
      <w:r w:rsidRPr="00A37E13">
        <w:rPr>
          <w:rFonts w:cs="Arial"/>
          <w:b w:val="0"/>
          <w:sz w:val="24"/>
          <w:szCs w:val="24"/>
        </w:rPr>
        <w:t>Fr</w:t>
      </w:r>
      <w:r w:rsidRPr="00803965">
        <w:rPr>
          <w:rFonts w:cs="Arial"/>
          <w:b w:val="0"/>
          <w:sz w:val="24"/>
          <w:szCs w:val="24"/>
        </w:rPr>
        <w:t>aunhofer IIS, Fraunhofer HHI</w:t>
      </w:r>
    </w:p>
    <w:p w:rsidR="00361B7F" w:rsidRDefault="00361B7F" w:rsidP="00361B7F">
      <w:pPr>
        <w:pStyle w:val="TdocHeader2"/>
        <w:tabs>
          <w:tab w:val="clear" w:pos="1701"/>
          <w:tab w:val="left" w:pos="2127"/>
        </w:tabs>
        <w:spacing w:before="240"/>
        <w:rPr>
          <w:rFonts w:cs="Arial"/>
          <w:b w:val="0"/>
          <w:sz w:val="24"/>
          <w:szCs w:val="24"/>
        </w:rPr>
      </w:pPr>
      <w:r w:rsidRPr="00803965">
        <w:rPr>
          <w:rFonts w:cs="Arial"/>
          <w:sz w:val="24"/>
          <w:szCs w:val="24"/>
        </w:rPr>
        <w:t>Agenda Item:</w:t>
      </w:r>
      <w:r w:rsidRPr="00803965">
        <w:rPr>
          <w:rFonts w:cs="Arial"/>
          <w:sz w:val="24"/>
          <w:szCs w:val="24"/>
        </w:rPr>
        <w:tab/>
      </w:r>
      <w:r>
        <w:rPr>
          <w:rFonts w:cs="Arial"/>
          <w:b w:val="0"/>
          <w:sz w:val="24"/>
          <w:szCs w:val="24"/>
        </w:rPr>
        <w:t>8.4.4 Others</w:t>
      </w:r>
    </w:p>
    <w:p w:rsidR="00361B7F" w:rsidRPr="007746E8" w:rsidRDefault="00361B7F" w:rsidP="00361B7F">
      <w:pPr>
        <w:pStyle w:val="TdocHeader2"/>
        <w:tabs>
          <w:tab w:val="clear" w:pos="1701"/>
          <w:tab w:val="left" w:pos="2127"/>
        </w:tabs>
        <w:spacing w:before="240"/>
        <w:rPr>
          <w:rFonts w:cs="Arial"/>
          <w:sz w:val="24"/>
          <w:szCs w:val="24"/>
        </w:rPr>
      </w:pPr>
      <w:proofErr w:type="spellStart"/>
      <w:r w:rsidRPr="009D36EB">
        <w:rPr>
          <w:rFonts w:cs="Arial"/>
          <w:sz w:val="24"/>
          <w:szCs w:val="24"/>
        </w:rPr>
        <w:t>TDoc</w:t>
      </w:r>
      <w:proofErr w:type="spellEnd"/>
      <w:r w:rsidRPr="009D36EB">
        <w:rPr>
          <w:rFonts w:cs="Arial"/>
          <w:sz w:val="24"/>
          <w:szCs w:val="24"/>
        </w:rPr>
        <w:t xml:space="preserve"> Type:</w:t>
      </w:r>
      <w:r>
        <w:rPr>
          <w:rFonts w:cs="Arial"/>
          <w:b w:val="0"/>
          <w:sz w:val="24"/>
          <w:szCs w:val="24"/>
        </w:rPr>
        <w:tab/>
        <w:t>Discussion</w:t>
      </w:r>
    </w:p>
    <w:p w:rsidR="00361B7F" w:rsidRPr="007746E8" w:rsidRDefault="00361B7F" w:rsidP="00361B7F">
      <w:pPr>
        <w:pStyle w:val="TdocHeader2"/>
        <w:tabs>
          <w:tab w:val="clear" w:pos="1701"/>
          <w:tab w:val="left" w:pos="2127"/>
        </w:tabs>
        <w:spacing w:before="240"/>
        <w:rPr>
          <w:rFonts w:cs="Arial"/>
          <w:sz w:val="24"/>
          <w:szCs w:val="24"/>
        </w:rPr>
      </w:pPr>
      <w:r w:rsidRPr="007746E8">
        <w:rPr>
          <w:rFonts w:cs="Arial"/>
          <w:sz w:val="24"/>
          <w:szCs w:val="24"/>
        </w:rPr>
        <w:t>Document for:</w:t>
      </w:r>
      <w:r w:rsidRPr="007746E8">
        <w:rPr>
          <w:rFonts w:cs="Arial"/>
          <w:sz w:val="24"/>
          <w:szCs w:val="24"/>
        </w:rPr>
        <w:tab/>
      </w:r>
      <w:r>
        <w:rPr>
          <w:rFonts w:cs="Arial"/>
          <w:b w:val="0"/>
          <w:sz w:val="24"/>
          <w:szCs w:val="24"/>
        </w:rPr>
        <w:t>Decision</w:t>
      </w:r>
    </w:p>
    <w:p w:rsidR="0017328F" w:rsidRDefault="0017328F"/>
    <w:p w:rsidR="00361B7F" w:rsidRPr="006F083D" w:rsidRDefault="00361B7F" w:rsidP="00361B7F">
      <w:pPr>
        <w:pStyle w:val="Heading1"/>
        <w:tabs>
          <w:tab w:val="clear" w:pos="432"/>
        </w:tabs>
        <w:textAlignment w:val="auto"/>
      </w:pPr>
      <w:r w:rsidRPr="006F083D">
        <w:t>Introduction</w:t>
      </w:r>
    </w:p>
    <w:p w:rsidR="00361B7F" w:rsidRPr="002C0BFF" w:rsidRDefault="00D1146D" w:rsidP="00D1146D">
      <w:pPr>
        <w:spacing w:after="0"/>
        <w:rPr>
          <w:sz w:val="22"/>
          <w:szCs w:val="22"/>
        </w:rPr>
      </w:pPr>
      <w:r w:rsidRPr="002C0BFF">
        <w:rPr>
          <w:sz w:val="22"/>
          <w:szCs w:val="22"/>
        </w:rPr>
        <w:t>In RAN1#104</w:t>
      </w:r>
      <w:r w:rsidR="00361B7F" w:rsidRPr="002C0BFF">
        <w:rPr>
          <w:sz w:val="22"/>
          <w:szCs w:val="22"/>
        </w:rPr>
        <w:t xml:space="preserve">-e, the following </w:t>
      </w:r>
      <w:r w:rsidRPr="002C0BFF">
        <w:rPr>
          <w:sz w:val="22"/>
          <w:szCs w:val="22"/>
        </w:rPr>
        <w:t>conclusion</w:t>
      </w:r>
      <w:r w:rsidR="00361B7F" w:rsidRPr="002C0BFF">
        <w:rPr>
          <w:sz w:val="22"/>
          <w:szCs w:val="22"/>
        </w:rPr>
        <w:t xml:space="preserve"> </w:t>
      </w:r>
      <w:r w:rsidRPr="002C0BFF">
        <w:rPr>
          <w:sz w:val="22"/>
          <w:szCs w:val="22"/>
        </w:rPr>
        <w:t>is</w:t>
      </w:r>
      <w:r w:rsidR="00361B7F" w:rsidRPr="002C0BFF">
        <w:rPr>
          <w:sz w:val="22"/>
          <w:szCs w:val="22"/>
        </w:rPr>
        <w:t xml:space="preserve"> achieved regarding the agenda item (AI) 8.4.4, others. The </w:t>
      </w:r>
      <w:r w:rsidRPr="002C0BFF">
        <w:rPr>
          <w:sz w:val="22"/>
          <w:szCs w:val="22"/>
        </w:rPr>
        <w:t>conclusion is provided below</w:t>
      </w:r>
      <w:r w:rsidR="00361B7F" w:rsidRPr="002C0BFF">
        <w:rPr>
          <w:sz w:val="22"/>
          <w:szCs w:val="22"/>
        </w:rPr>
        <w:t>:</w:t>
      </w:r>
    </w:p>
    <w:p w:rsidR="00361B7F" w:rsidRDefault="00361B7F" w:rsidP="00361B7F">
      <w:pPr>
        <w:spacing w:after="0"/>
      </w:pPr>
    </w:p>
    <w:p w:rsidR="00361B7F" w:rsidRPr="00615D5A" w:rsidRDefault="00361B7F" w:rsidP="00361B7F">
      <w:pPr>
        <w:spacing w:after="0"/>
      </w:pPr>
      <w:r w:rsidRPr="00382EB7">
        <w:rPr>
          <w:b/>
          <w:noProof/>
          <w:lang w:val="en-US" w:eastAsia="en-US"/>
        </w:rPr>
        <mc:AlternateContent>
          <mc:Choice Requires="wps">
            <w:drawing>
              <wp:inline distT="0" distB="0" distL="0" distR="0" wp14:anchorId="7858F049" wp14:editId="07072539">
                <wp:extent cx="5932627" cy="4462818"/>
                <wp:effectExtent l="0" t="0" r="1143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4462818"/>
                        </a:xfrm>
                        <a:prstGeom prst="rect">
                          <a:avLst/>
                        </a:prstGeom>
                        <a:solidFill>
                          <a:srgbClr val="FFFFFF"/>
                        </a:solidFill>
                        <a:ln w="9525">
                          <a:solidFill>
                            <a:srgbClr val="000000"/>
                          </a:solidFill>
                          <a:miter lim="800000"/>
                          <a:headEnd/>
                          <a:tailEnd/>
                        </a:ln>
                      </wps:spPr>
                      <wps:txbx>
                        <w:txbxContent>
                          <w:p w:rsidR="008F5739" w:rsidRPr="00361B7F" w:rsidRDefault="002C0BFF" w:rsidP="00361B7F">
                            <w:pPr>
                              <w:rPr>
                                <w:b/>
                                <w:bCs/>
                                <w:sz w:val="22"/>
                                <w:szCs w:val="22"/>
                              </w:rPr>
                            </w:pPr>
                            <w:r>
                              <w:rPr>
                                <w:b/>
                                <w:bCs/>
                                <w:sz w:val="22"/>
                                <w:szCs w:val="22"/>
                              </w:rPr>
                              <w:t>RAN1#104</w:t>
                            </w:r>
                            <w:r w:rsidR="008F5739" w:rsidRPr="00361B7F">
                              <w:rPr>
                                <w:b/>
                                <w:bCs/>
                                <w:sz w:val="22"/>
                                <w:szCs w:val="22"/>
                              </w:rPr>
                              <w:t>-e:</w:t>
                            </w:r>
                          </w:p>
                          <w:p w:rsidR="002C0BFF" w:rsidRDefault="002C0BFF" w:rsidP="002C0BFF">
                            <w:pPr>
                              <w:spacing w:after="0"/>
                              <w:rPr>
                                <w:rFonts w:asciiTheme="minorBidi" w:hAnsiTheme="minorBidi" w:cstheme="minorBidi"/>
                                <w:sz w:val="24"/>
                                <w:szCs w:val="24"/>
                                <w:lang w:eastAsia="x-none"/>
                              </w:rPr>
                            </w:pPr>
                            <w:r w:rsidRPr="002C0BFF">
                              <w:rPr>
                                <w:rFonts w:asciiTheme="minorBidi" w:hAnsiTheme="minorBidi" w:cstheme="minorBidi"/>
                                <w:sz w:val="24"/>
                                <w:szCs w:val="24"/>
                                <w:highlight w:val="lightGray"/>
                                <w:lang w:eastAsia="x-none"/>
                              </w:rPr>
                              <w:t>Conclusion:</w:t>
                            </w:r>
                          </w:p>
                          <w:p w:rsidR="002C0BFF" w:rsidRPr="002C0BFF" w:rsidRDefault="002C0BFF" w:rsidP="002C0BFF">
                            <w:pPr>
                              <w:spacing w:after="0"/>
                              <w:rPr>
                                <w:rFonts w:asciiTheme="minorBidi" w:hAnsiTheme="minorBidi" w:cstheme="minorBidi"/>
                                <w:sz w:val="24"/>
                                <w:szCs w:val="24"/>
                                <w:lang w:eastAsia="x-none"/>
                              </w:rPr>
                            </w:pPr>
                          </w:p>
                          <w:p w:rsidR="002C0BFF" w:rsidRPr="002C0BFF" w:rsidRDefault="002C0BFF" w:rsidP="002C0BFF">
                            <w:pPr>
                              <w:spacing w:after="0"/>
                              <w:rPr>
                                <w:rFonts w:asciiTheme="minorBidi" w:hAnsiTheme="minorBidi" w:cstheme="minorBidi"/>
                                <w:sz w:val="22"/>
                                <w:szCs w:val="22"/>
                                <w:lang w:eastAsia="x-none"/>
                              </w:rPr>
                            </w:pPr>
                            <w:r w:rsidRPr="002C0BFF">
                              <w:rPr>
                                <w:rFonts w:asciiTheme="minorBidi" w:hAnsiTheme="minorBidi" w:cstheme="minorBidi"/>
                                <w:sz w:val="22"/>
                                <w:szCs w:val="22"/>
                                <w:lang w:eastAsia="x-none"/>
                              </w:rPr>
                              <w:t>Discuss whether or not at least following issues are valid and decide whether or not enhancements are needed in addition to current NR specification for supporting NTN beam management:</w:t>
                            </w:r>
                          </w:p>
                          <w:p w:rsidR="002C0BFF" w:rsidRPr="002C0BFF" w:rsidRDefault="002C0BFF" w:rsidP="002C0BFF">
                            <w:pPr>
                              <w:spacing w:after="0"/>
                              <w:rPr>
                                <w:rFonts w:asciiTheme="minorBidi" w:hAnsiTheme="minorBidi" w:cstheme="minorBidi"/>
                                <w:sz w:val="22"/>
                                <w:szCs w:val="22"/>
                                <w:lang w:eastAsia="x-none"/>
                              </w:rPr>
                            </w:pPr>
                            <w:r w:rsidRPr="002C0BFF">
                              <w:rPr>
                                <w:rFonts w:asciiTheme="minorBidi" w:hAnsiTheme="minorBidi" w:cstheme="minorBidi"/>
                                <w:sz w:val="22"/>
                                <w:szCs w:val="22"/>
                                <w:lang w:eastAsia="x-none"/>
                              </w:rPr>
                              <w:t>•</w:t>
                            </w:r>
                            <w:r w:rsidRPr="002C0BFF">
                              <w:rPr>
                                <w:rFonts w:asciiTheme="minorBidi" w:hAnsiTheme="minorBidi" w:cstheme="minorBidi"/>
                                <w:sz w:val="22"/>
                                <w:szCs w:val="22"/>
                                <w:lang w:eastAsia="x-none"/>
                              </w:rPr>
                              <w:tab/>
                              <w:t>Issue 1: NR BWP is not directly associated with a beam. Thus, when using TCI to change beam from beam 1 to beam 2, it does not trigger NR BWP switching. However, in NTN FRF&gt;1 case, beam switching may result in a BWP switching.</w:t>
                            </w:r>
                          </w:p>
                          <w:p w:rsidR="002C0BFF" w:rsidRPr="002C0BFF" w:rsidRDefault="002C0BFF" w:rsidP="002C0BFF">
                            <w:pPr>
                              <w:spacing w:after="0"/>
                              <w:rPr>
                                <w:rFonts w:asciiTheme="minorBidi" w:hAnsiTheme="minorBidi" w:cstheme="minorBidi"/>
                                <w:sz w:val="22"/>
                                <w:szCs w:val="22"/>
                                <w:lang w:eastAsia="x-none"/>
                              </w:rPr>
                            </w:pPr>
                            <w:r w:rsidRPr="002C0BFF">
                              <w:rPr>
                                <w:rFonts w:asciiTheme="minorBidi" w:hAnsiTheme="minorBidi" w:cstheme="minorBidi"/>
                                <w:sz w:val="22"/>
                                <w:szCs w:val="22"/>
                                <w:lang w:eastAsia="x-none"/>
                              </w:rPr>
                              <w:t>•</w:t>
                            </w:r>
                            <w:r w:rsidRPr="002C0BFF">
                              <w:rPr>
                                <w:rFonts w:asciiTheme="minorBidi" w:hAnsiTheme="minorBidi" w:cstheme="minorBidi"/>
                                <w:sz w:val="22"/>
                                <w:szCs w:val="22"/>
                                <w:lang w:eastAsia="x-none"/>
                              </w:rPr>
                              <w:tab/>
                              <w:t>Issue 2: NR BWP switching in UL and DL are not jointly triggered for FDD. However, in NTN FRF&gt;1 FDD scenario, beam switching may result in a BWP switching in both DL and UL.</w:t>
                            </w:r>
                          </w:p>
                          <w:p w:rsidR="002C0BFF" w:rsidRPr="002C0BFF" w:rsidRDefault="002C0BFF" w:rsidP="002C0BFF">
                            <w:pPr>
                              <w:spacing w:after="0"/>
                              <w:rPr>
                                <w:rFonts w:asciiTheme="minorBidi" w:hAnsiTheme="minorBidi" w:cstheme="minorBidi"/>
                                <w:sz w:val="22"/>
                                <w:szCs w:val="22"/>
                                <w:lang w:eastAsia="x-none"/>
                              </w:rPr>
                            </w:pPr>
                            <w:r w:rsidRPr="002C0BFF">
                              <w:rPr>
                                <w:rFonts w:asciiTheme="minorBidi" w:hAnsiTheme="minorBidi" w:cstheme="minorBidi"/>
                                <w:sz w:val="22"/>
                                <w:szCs w:val="22"/>
                                <w:lang w:eastAsia="x-none"/>
                              </w:rPr>
                              <w:t>•</w:t>
                            </w:r>
                            <w:r w:rsidRPr="002C0BFF">
                              <w:rPr>
                                <w:rFonts w:asciiTheme="minorBidi" w:hAnsiTheme="minorBidi" w:cstheme="minorBidi"/>
                                <w:sz w:val="22"/>
                                <w:szCs w:val="22"/>
                                <w:lang w:eastAsia="x-none"/>
                              </w:rPr>
                              <w:tab/>
                              <w:t>Issue 3: NR dynamic BWP switching requires data scheduling. While in NTN FRF&gt;1 scenario, we may need a fast BWP switching triggering without data scheduling.</w:t>
                            </w:r>
                          </w:p>
                          <w:p w:rsidR="002C0BFF" w:rsidRPr="002C0BFF" w:rsidRDefault="002C0BFF" w:rsidP="002C0BFF">
                            <w:pPr>
                              <w:spacing w:after="0"/>
                              <w:rPr>
                                <w:rFonts w:asciiTheme="minorBidi" w:hAnsiTheme="minorBidi" w:cstheme="minorBidi"/>
                                <w:sz w:val="22"/>
                                <w:szCs w:val="22"/>
                                <w:lang w:eastAsia="x-none"/>
                              </w:rPr>
                            </w:pPr>
                            <w:r w:rsidRPr="002C0BFF">
                              <w:rPr>
                                <w:rFonts w:asciiTheme="minorBidi" w:hAnsiTheme="minorBidi" w:cstheme="minorBidi"/>
                                <w:sz w:val="22"/>
                                <w:szCs w:val="22"/>
                                <w:lang w:eastAsia="x-none"/>
                              </w:rPr>
                              <w:t>•</w:t>
                            </w:r>
                            <w:r w:rsidRPr="002C0BFF">
                              <w:rPr>
                                <w:rFonts w:asciiTheme="minorBidi" w:hAnsiTheme="minorBidi" w:cstheme="minorBidi"/>
                                <w:sz w:val="22"/>
                                <w:szCs w:val="22"/>
                                <w:lang w:eastAsia="x-none"/>
                              </w:rPr>
                              <w:tab/>
                              <w:t xml:space="preserve">Issue 4: NR BWP switching does not require re-synchronization. However, in NTN FRF&gt;1 scenario, when a satellite beam switching is triggered, UE may need to perform re-synchronization in the switched BWP. </w:t>
                            </w:r>
                          </w:p>
                          <w:p w:rsidR="002C0BFF" w:rsidRPr="002C0BFF" w:rsidRDefault="002C0BFF" w:rsidP="002C0BFF">
                            <w:pPr>
                              <w:spacing w:after="0"/>
                              <w:rPr>
                                <w:rFonts w:asciiTheme="minorBidi" w:hAnsiTheme="minorBidi" w:cstheme="minorBidi"/>
                                <w:sz w:val="22"/>
                                <w:szCs w:val="22"/>
                                <w:lang w:eastAsia="x-none"/>
                              </w:rPr>
                            </w:pPr>
                            <w:r w:rsidRPr="002C0BFF">
                              <w:rPr>
                                <w:rFonts w:asciiTheme="minorBidi" w:hAnsiTheme="minorBidi" w:cstheme="minorBidi"/>
                                <w:sz w:val="22"/>
                                <w:szCs w:val="22"/>
                                <w:lang w:eastAsia="x-none"/>
                              </w:rPr>
                              <w:t>•</w:t>
                            </w:r>
                            <w:r w:rsidRPr="002C0BFF">
                              <w:rPr>
                                <w:rFonts w:asciiTheme="minorBidi" w:hAnsiTheme="minorBidi" w:cstheme="minorBidi"/>
                                <w:sz w:val="22"/>
                                <w:szCs w:val="22"/>
                                <w:lang w:eastAsia="x-none"/>
                              </w:rPr>
                              <w:tab/>
                              <w:t>Issue 5: Since satellite beam switching can be frequent and often highly predictable, mechanisms of configured BWP switching (can be a sequence of BWPs) may be preferred but current NR does not allow it.</w:t>
                            </w:r>
                          </w:p>
                          <w:p w:rsidR="002C0BFF" w:rsidRPr="002C0BFF" w:rsidRDefault="002C0BFF" w:rsidP="002C0BFF">
                            <w:pPr>
                              <w:spacing w:after="0"/>
                              <w:rPr>
                                <w:rFonts w:asciiTheme="minorBidi" w:hAnsiTheme="minorBidi" w:cstheme="minorBidi"/>
                                <w:sz w:val="22"/>
                                <w:szCs w:val="22"/>
                                <w:lang w:eastAsia="x-none"/>
                              </w:rPr>
                            </w:pPr>
                            <w:r w:rsidRPr="002C0BFF">
                              <w:rPr>
                                <w:rFonts w:asciiTheme="minorBidi" w:hAnsiTheme="minorBidi" w:cstheme="minorBidi"/>
                                <w:sz w:val="22"/>
                                <w:szCs w:val="22"/>
                                <w:lang w:eastAsia="x-none"/>
                              </w:rPr>
                              <w:t>•</w:t>
                            </w:r>
                            <w:r w:rsidRPr="002C0BFF">
                              <w:rPr>
                                <w:rFonts w:asciiTheme="minorBidi" w:hAnsiTheme="minorBidi" w:cstheme="minorBidi"/>
                                <w:sz w:val="22"/>
                                <w:szCs w:val="22"/>
                                <w:lang w:eastAsia="x-none"/>
                              </w:rPr>
                              <w:tab/>
                              <w:t xml:space="preserve">Issue 6: How to deal with BWP switching triggered by </w:t>
                            </w:r>
                            <w:proofErr w:type="spellStart"/>
                            <w:r w:rsidRPr="002C0BFF">
                              <w:rPr>
                                <w:rFonts w:asciiTheme="minorBidi" w:hAnsiTheme="minorBidi" w:cstheme="minorBidi"/>
                                <w:sz w:val="22"/>
                                <w:szCs w:val="22"/>
                                <w:lang w:eastAsia="x-none"/>
                              </w:rPr>
                              <w:t>bwpInactivityTimer</w:t>
                            </w:r>
                            <w:proofErr w:type="spellEnd"/>
                            <w:r w:rsidRPr="002C0BFF">
                              <w:rPr>
                                <w:rFonts w:asciiTheme="minorBidi" w:hAnsiTheme="minorBidi" w:cstheme="minorBidi"/>
                                <w:sz w:val="22"/>
                                <w:szCs w:val="22"/>
                                <w:lang w:eastAsia="x-none"/>
                              </w:rPr>
                              <w:t>, RA procedure, or simply a need to increase throughput instead of for beam-level mobility.</w:t>
                            </w:r>
                          </w:p>
                          <w:p w:rsidR="008F5739" w:rsidRPr="002C0BFF" w:rsidRDefault="002C0BFF" w:rsidP="002C0BFF">
                            <w:pPr>
                              <w:spacing w:after="0"/>
                              <w:rPr>
                                <w:rFonts w:asciiTheme="minorBidi" w:hAnsiTheme="minorBidi" w:cstheme="minorBidi"/>
                                <w:sz w:val="22"/>
                                <w:szCs w:val="22"/>
                                <w:lang w:eastAsia="x-none"/>
                              </w:rPr>
                            </w:pPr>
                            <w:r w:rsidRPr="002C0BFF">
                              <w:rPr>
                                <w:rFonts w:asciiTheme="minorBidi" w:hAnsiTheme="minorBidi" w:cstheme="minorBidi"/>
                                <w:sz w:val="22"/>
                                <w:szCs w:val="22"/>
                                <w:lang w:eastAsia="x-none"/>
                              </w:rPr>
                              <w:t>•</w:t>
                            </w:r>
                            <w:r w:rsidRPr="002C0BFF">
                              <w:rPr>
                                <w:rFonts w:asciiTheme="minorBidi" w:hAnsiTheme="minorBidi" w:cstheme="minorBidi"/>
                                <w:sz w:val="22"/>
                                <w:szCs w:val="22"/>
                                <w:lang w:eastAsia="x-none"/>
                              </w:rPr>
                              <w:tab/>
                              <w:t>Issue 7: NR BWP switching/beam switching is done with UE specific signalling due to UE movement’s. However, in NTN scenario, a satellite BWP/beam switching is common for set of UEs, we may need to a common BWP/beam switching mechanism to save the signalling overhead.</w:t>
                            </w:r>
                          </w:p>
                        </w:txbxContent>
                      </wps:txbx>
                      <wps:bodyPr rot="0" vert="horz" wrap="square" lIns="91440" tIns="45720" rIns="91440" bIns="45720" anchor="t" anchorCtr="0">
                        <a:noAutofit/>
                      </wps:bodyPr>
                    </wps:wsp>
                  </a:graphicData>
                </a:graphic>
              </wp:inline>
            </w:drawing>
          </mc:Choice>
          <mc:Fallback>
            <w:pict>
              <v:shapetype w14:anchorId="7858F049" id="_x0000_t202" coordsize="21600,21600" o:spt="202" path="m,l,21600r21600,l21600,xe">
                <v:stroke joinstyle="miter"/>
                <v:path gradientshapeok="t" o:connecttype="rect"/>
              </v:shapetype>
              <v:shape id="文本框 2" o:spid="_x0000_s1026" type="#_x0000_t202" style="width:467.15pt;height:35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">
                <v:textbox>
                  <w:txbxContent>
                    <w:p w:rsidR="008F5739" w:rsidRPr="00361B7F" w:rsidRDefault="002C0BFF" w:rsidP="00361B7F">
                      <w:pPr>
                        <w:rPr>
                          <w:b/>
                          <w:bCs/>
                          <w:sz w:val="22"/>
                          <w:szCs w:val="22"/>
                        </w:rPr>
                      </w:pPr>
                      <w:r>
                        <w:rPr>
                          <w:b/>
                          <w:bCs/>
                          <w:sz w:val="22"/>
                          <w:szCs w:val="22"/>
                        </w:rPr>
                        <w:t>RAN1#104</w:t>
                      </w:r>
                      <w:r w:rsidR="008F5739" w:rsidRPr="00361B7F">
                        <w:rPr>
                          <w:b/>
                          <w:bCs/>
                          <w:sz w:val="22"/>
                          <w:szCs w:val="22"/>
                        </w:rPr>
                        <w:t>-e:</w:t>
                      </w:r>
                    </w:p>
                    <w:p w:rsidR="002C0BFF" w:rsidRDefault="002C0BFF" w:rsidP="002C0BFF">
                      <w:pPr>
                        <w:spacing w:after="0"/>
                        <w:rPr>
                          <w:rFonts w:asciiTheme="minorBidi" w:hAnsiTheme="minorBidi" w:cstheme="minorBidi"/>
                          <w:sz w:val="24"/>
                          <w:szCs w:val="24"/>
                          <w:lang w:eastAsia="x-none"/>
                        </w:rPr>
                      </w:pPr>
                      <w:r w:rsidRPr="002C0BFF">
                        <w:rPr>
                          <w:rFonts w:asciiTheme="minorBidi" w:hAnsiTheme="minorBidi" w:cstheme="minorBidi"/>
                          <w:sz w:val="24"/>
                          <w:szCs w:val="24"/>
                          <w:highlight w:val="lightGray"/>
                          <w:lang w:eastAsia="x-none"/>
                        </w:rPr>
                        <w:t>Conclusion:</w:t>
                      </w:r>
                    </w:p>
                    <w:p w:rsidR="002C0BFF" w:rsidRPr="002C0BFF" w:rsidRDefault="002C0BFF" w:rsidP="002C0BFF">
                      <w:pPr>
                        <w:spacing w:after="0"/>
                        <w:rPr>
                          <w:rFonts w:asciiTheme="minorBidi" w:hAnsiTheme="minorBidi" w:cstheme="minorBidi"/>
                          <w:sz w:val="24"/>
                          <w:szCs w:val="24"/>
                          <w:lang w:eastAsia="x-none"/>
                        </w:rPr>
                      </w:pPr>
                    </w:p>
                    <w:p w:rsidR="002C0BFF" w:rsidRPr="002C0BFF" w:rsidRDefault="002C0BFF" w:rsidP="002C0BFF">
                      <w:pPr>
                        <w:spacing w:after="0"/>
                        <w:rPr>
                          <w:rFonts w:asciiTheme="minorBidi" w:hAnsiTheme="minorBidi" w:cstheme="minorBidi"/>
                          <w:sz w:val="22"/>
                          <w:szCs w:val="22"/>
                          <w:lang w:eastAsia="x-none"/>
                        </w:rPr>
                      </w:pPr>
                      <w:r w:rsidRPr="002C0BFF">
                        <w:rPr>
                          <w:rFonts w:asciiTheme="minorBidi" w:hAnsiTheme="minorBidi" w:cstheme="minorBidi"/>
                          <w:sz w:val="22"/>
                          <w:szCs w:val="22"/>
                          <w:lang w:eastAsia="x-none"/>
                        </w:rPr>
                        <w:t>Discuss whether or not at least following issues are valid and decide whether or not enhancements are needed in addition to current NR specification for supporting NTN beam management:</w:t>
                      </w:r>
                    </w:p>
                    <w:p w:rsidR="002C0BFF" w:rsidRPr="002C0BFF" w:rsidRDefault="002C0BFF" w:rsidP="002C0BFF">
                      <w:pPr>
                        <w:spacing w:after="0"/>
                        <w:rPr>
                          <w:rFonts w:asciiTheme="minorBidi" w:hAnsiTheme="minorBidi" w:cstheme="minorBidi"/>
                          <w:sz w:val="22"/>
                          <w:szCs w:val="22"/>
                          <w:lang w:eastAsia="x-none"/>
                        </w:rPr>
                      </w:pPr>
                      <w:r w:rsidRPr="002C0BFF">
                        <w:rPr>
                          <w:rFonts w:asciiTheme="minorBidi" w:hAnsiTheme="minorBidi" w:cstheme="minorBidi"/>
                          <w:sz w:val="22"/>
                          <w:szCs w:val="22"/>
                          <w:lang w:eastAsia="x-none"/>
                        </w:rPr>
                        <w:t>•</w:t>
                      </w:r>
                      <w:r w:rsidRPr="002C0BFF">
                        <w:rPr>
                          <w:rFonts w:asciiTheme="minorBidi" w:hAnsiTheme="minorBidi" w:cstheme="minorBidi"/>
                          <w:sz w:val="22"/>
                          <w:szCs w:val="22"/>
                          <w:lang w:eastAsia="x-none"/>
                        </w:rPr>
                        <w:tab/>
                        <w:t>Issue 1: NR BWP is not directly associated with a beam. Thus, when using TCI to change beam from beam 1 to beam 2, it does not trigger NR BWP switching. However, in NTN FRF&gt;1 case, beam switching may result in a BWP switching.</w:t>
                      </w:r>
                    </w:p>
                    <w:p w:rsidR="002C0BFF" w:rsidRPr="002C0BFF" w:rsidRDefault="002C0BFF" w:rsidP="002C0BFF">
                      <w:pPr>
                        <w:spacing w:after="0"/>
                        <w:rPr>
                          <w:rFonts w:asciiTheme="minorBidi" w:hAnsiTheme="minorBidi" w:cstheme="minorBidi"/>
                          <w:sz w:val="22"/>
                          <w:szCs w:val="22"/>
                          <w:lang w:eastAsia="x-none"/>
                        </w:rPr>
                      </w:pPr>
                      <w:r w:rsidRPr="002C0BFF">
                        <w:rPr>
                          <w:rFonts w:asciiTheme="minorBidi" w:hAnsiTheme="minorBidi" w:cstheme="minorBidi"/>
                          <w:sz w:val="22"/>
                          <w:szCs w:val="22"/>
                          <w:lang w:eastAsia="x-none"/>
                        </w:rPr>
                        <w:t>•</w:t>
                      </w:r>
                      <w:r w:rsidRPr="002C0BFF">
                        <w:rPr>
                          <w:rFonts w:asciiTheme="minorBidi" w:hAnsiTheme="minorBidi" w:cstheme="minorBidi"/>
                          <w:sz w:val="22"/>
                          <w:szCs w:val="22"/>
                          <w:lang w:eastAsia="x-none"/>
                        </w:rPr>
                        <w:tab/>
                        <w:t>Issue 2: NR BWP switching in UL and DL are not jointly triggered for FDD. However, in NTN FRF&gt;1 FDD scenario, beam switching may result in a BWP switching in both DL and UL.</w:t>
                      </w:r>
                    </w:p>
                    <w:p w:rsidR="002C0BFF" w:rsidRPr="002C0BFF" w:rsidRDefault="002C0BFF" w:rsidP="002C0BFF">
                      <w:pPr>
                        <w:spacing w:after="0"/>
                        <w:rPr>
                          <w:rFonts w:asciiTheme="minorBidi" w:hAnsiTheme="minorBidi" w:cstheme="minorBidi"/>
                          <w:sz w:val="22"/>
                          <w:szCs w:val="22"/>
                          <w:lang w:eastAsia="x-none"/>
                        </w:rPr>
                      </w:pPr>
                      <w:r w:rsidRPr="002C0BFF">
                        <w:rPr>
                          <w:rFonts w:asciiTheme="minorBidi" w:hAnsiTheme="minorBidi" w:cstheme="minorBidi"/>
                          <w:sz w:val="22"/>
                          <w:szCs w:val="22"/>
                          <w:lang w:eastAsia="x-none"/>
                        </w:rPr>
                        <w:t>•</w:t>
                      </w:r>
                      <w:r w:rsidRPr="002C0BFF">
                        <w:rPr>
                          <w:rFonts w:asciiTheme="minorBidi" w:hAnsiTheme="minorBidi" w:cstheme="minorBidi"/>
                          <w:sz w:val="22"/>
                          <w:szCs w:val="22"/>
                          <w:lang w:eastAsia="x-none"/>
                        </w:rPr>
                        <w:tab/>
                        <w:t>Issue 3: NR dynamic BWP switching requires data scheduling. While in NTN FRF&gt;1 scenario, we may need a fast BWP switching triggering without data scheduling.</w:t>
                      </w:r>
                    </w:p>
                    <w:p w:rsidR="002C0BFF" w:rsidRPr="002C0BFF" w:rsidRDefault="002C0BFF" w:rsidP="002C0BFF">
                      <w:pPr>
                        <w:spacing w:after="0"/>
                        <w:rPr>
                          <w:rFonts w:asciiTheme="minorBidi" w:hAnsiTheme="minorBidi" w:cstheme="minorBidi"/>
                          <w:sz w:val="22"/>
                          <w:szCs w:val="22"/>
                          <w:lang w:eastAsia="x-none"/>
                        </w:rPr>
                      </w:pPr>
                      <w:r w:rsidRPr="002C0BFF">
                        <w:rPr>
                          <w:rFonts w:asciiTheme="minorBidi" w:hAnsiTheme="minorBidi" w:cstheme="minorBidi"/>
                          <w:sz w:val="22"/>
                          <w:szCs w:val="22"/>
                          <w:lang w:eastAsia="x-none"/>
                        </w:rPr>
                        <w:t>•</w:t>
                      </w:r>
                      <w:r w:rsidRPr="002C0BFF">
                        <w:rPr>
                          <w:rFonts w:asciiTheme="minorBidi" w:hAnsiTheme="minorBidi" w:cstheme="minorBidi"/>
                          <w:sz w:val="22"/>
                          <w:szCs w:val="22"/>
                          <w:lang w:eastAsia="x-none"/>
                        </w:rPr>
                        <w:tab/>
                        <w:t xml:space="preserve">Issue 4: NR BWP switching does not require re-synchronization. However, in NTN FRF&gt;1 scenario, when a satellite beam switching is triggered, UE may need to perform re-synchronization in the switched BWP. </w:t>
                      </w:r>
                    </w:p>
                    <w:p w:rsidR="002C0BFF" w:rsidRPr="002C0BFF" w:rsidRDefault="002C0BFF" w:rsidP="002C0BFF">
                      <w:pPr>
                        <w:spacing w:after="0"/>
                        <w:rPr>
                          <w:rFonts w:asciiTheme="minorBidi" w:hAnsiTheme="minorBidi" w:cstheme="minorBidi"/>
                          <w:sz w:val="22"/>
                          <w:szCs w:val="22"/>
                          <w:lang w:eastAsia="x-none"/>
                        </w:rPr>
                      </w:pPr>
                      <w:r w:rsidRPr="002C0BFF">
                        <w:rPr>
                          <w:rFonts w:asciiTheme="minorBidi" w:hAnsiTheme="minorBidi" w:cstheme="minorBidi"/>
                          <w:sz w:val="22"/>
                          <w:szCs w:val="22"/>
                          <w:lang w:eastAsia="x-none"/>
                        </w:rPr>
                        <w:t>•</w:t>
                      </w:r>
                      <w:r w:rsidRPr="002C0BFF">
                        <w:rPr>
                          <w:rFonts w:asciiTheme="minorBidi" w:hAnsiTheme="minorBidi" w:cstheme="minorBidi"/>
                          <w:sz w:val="22"/>
                          <w:szCs w:val="22"/>
                          <w:lang w:eastAsia="x-none"/>
                        </w:rPr>
                        <w:tab/>
                        <w:t>Issue 5: Since satellite beam switching can be frequent and often highly predictable, mechanisms of configured BWP switching (can be a sequence of BWPs) may be preferred but current NR does not allow it.</w:t>
                      </w:r>
                    </w:p>
                    <w:p w:rsidR="002C0BFF" w:rsidRPr="002C0BFF" w:rsidRDefault="002C0BFF" w:rsidP="002C0BFF">
                      <w:pPr>
                        <w:spacing w:after="0"/>
                        <w:rPr>
                          <w:rFonts w:asciiTheme="minorBidi" w:hAnsiTheme="minorBidi" w:cstheme="minorBidi"/>
                          <w:sz w:val="22"/>
                          <w:szCs w:val="22"/>
                          <w:lang w:eastAsia="x-none"/>
                        </w:rPr>
                      </w:pPr>
                      <w:r w:rsidRPr="002C0BFF">
                        <w:rPr>
                          <w:rFonts w:asciiTheme="minorBidi" w:hAnsiTheme="minorBidi" w:cstheme="minorBidi"/>
                          <w:sz w:val="22"/>
                          <w:szCs w:val="22"/>
                          <w:lang w:eastAsia="x-none"/>
                        </w:rPr>
                        <w:t>•</w:t>
                      </w:r>
                      <w:r w:rsidRPr="002C0BFF">
                        <w:rPr>
                          <w:rFonts w:asciiTheme="minorBidi" w:hAnsiTheme="minorBidi" w:cstheme="minorBidi"/>
                          <w:sz w:val="22"/>
                          <w:szCs w:val="22"/>
                          <w:lang w:eastAsia="x-none"/>
                        </w:rPr>
                        <w:tab/>
                        <w:t xml:space="preserve">Issue 6: How to deal with BWP switching triggered by </w:t>
                      </w:r>
                      <w:proofErr w:type="spellStart"/>
                      <w:r w:rsidRPr="002C0BFF">
                        <w:rPr>
                          <w:rFonts w:asciiTheme="minorBidi" w:hAnsiTheme="minorBidi" w:cstheme="minorBidi"/>
                          <w:sz w:val="22"/>
                          <w:szCs w:val="22"/>
                          <w:lang w:eastAsia="x-none"/>
                        </w:rPr>
                        <w:t>bwpInactivityTimer</w:t>
                      </w:r>
                      <w:proofErr w:type="spellEnd"/>
                      <w:r w:rsidRPr="002C0BFF">
                        <w:rPr>
                          <w:rFonts w:asciiTheme="minorBidi" w:hAnsiTheme="minorBidi" w:cstheme="minorBidi"/>
                          <w:sz w:val="22"/>
                          <w:szCs w:val="22"/>
                          <w:lang w:eastAsia="x-none"/>
                        </w:rPr>
                        <w:t>, RA procedure, or simply a need to increase throughput instead of for beam-level mobility.</w:t>
                      </w:r>
                    </w:p>
                    <w:p w:rsidR="008F5739" w:rsidRPr="002C0BFF" w:rsidRDefault="002C0BFF" w:rsidP="002C0BFF">
                      <w:pPr>
                        <w:spacing w:after="0"/>
                        <w:rPr>
                          <w:rFonts w:asciiTheme="minorBidi" w:hAnsiTheme="minorBidi" w:cstheme="minorBidi"/>
                          <w:sz w:val="22"/>
                          <w:szCs w:val="22"/>
                          <w:lang w:eastAsia="x-none"/>
                        </w:rPr>
                      </w:pPr>
                      <w:r w:rsidRPr="002C0BFF">
                        <w:rPr>
                          <w:rFonts w:asciiTheme="minorBidi" w:hAnsiTheme="minorBidi" w:cstheme="minorBidi"/>
                          <w:sz w:val="22"/>
                          <w:szCs w:val="22"/>
                          <w:lang w:eastAsia="x-none"/>
                        </w:rPr>
                        <w:t>•</w:t>
                      </w:r>
                      <w:r w:rsidRPr="002C0BFF">
                        <w:rPr>
                          <w:rFonts w:asciiTheme="minorBidi" w:hAnsiTheme="minorBidi" w:cstheme="minorBidi"/>
                          <w:sz w:val="22"/>
                          <w:szCs w:val="22"/>
                          <w:lang w:eastAsia="x-none"/>
                        </w:rPr>
                        <w:tab/>
                        <w:t>Issue 7: NR BWP switching/beam switching is done with UE specific signalling due to UE movement’s. However, in NTN scenario, a satellite BWP/beam switching is common for set of UEs, we may need to a common BWP/beam switching mechanism to save the signalling overhead.</w:t>
                      </w:r>
                    </w:p>
                  </w:txbxContent>
                </v:textbox>
                <w10:anchorlock/>
              </v:shape>
            </w:pict>
          </mc:Fallback>
        </mc:AlternateContent>
      </w:r>
    </w:p>
    <w:p w:rsidR="00361B7F" w:rsidRDefault="00361B7F"/>
    <w:p w:rsidR="00361B7F" w:rsidRDefault="00361B7F" w:rsidP="00361B7F">
      <w:pPr>
        <w:pStyle w:val="Heading1"/>
      </w:pPr>
      <w:r>
        <w:t xml:space="preserve">Discussion </w:t>
      </w:r>
    </w:p>
    <w:p w:rsidR="008F5739" w:rsidRDefault="008F5739" w:rsidP="008F5739">
      <w:pPr>
        <w:rPr>
          <w:sz w:val="22"/>
          <w:szCs w:val="22"/>
        </w:rPr>
      </w:pPr>
      <w:r>
        <w:rPr>
          <w:sz w:val="22"/>
          <w:szCs w:val="22"/>
        </w:rPr>
        <w:t>Multiple antennas may be deployed at a satellite to construct multiple spot beams on ground. It was identified in TR38.821</w:t>
      </w:r>
      <w:r w:rsidR="003F0798">
        <w:rPr>
          <w:sz w:val="22"/>
          <w:szCs w:val="22"/>
        </w:rPr>
        <w:t xml:space="preserve"> [1]</w:t>
      </w:r>
      <w:r>
        <w:rPr>
          <w:sz w:val="22"/>
          <w:szCs w:val="22"/>
        </w:rPr>
        <w:t xml:space="preserve"> that using frequency reuse factors larger than one reduce the co-channel interference on adjacent beams and, as a result of this, improve the link budget of </w:t>
      </w:r>
      <w:r>
        <w:rPr>
          <w:sz w:val="22"/>
          <w:szCs w:val="22"/>
        </w:rPr>
        <w:lastRenderedPageBreak/>
        <w:t xml:space="preserve">each spot beam. Thus, one possible approach to allocate different frequency ranges to different beams of a satellite is via the existing concept of bandwidth part (BWP) in 5G NR. </w:t>
      </w:r>
    </w:p>
    <w:p w:rsidR="003F0798" w:rsidRDefault="008F5739" w:rsidP="001B70FB">
      <w:pPr>
        <w:rPr>
          <w:sz w:val="22"/>
          <w:szCs w:val="22"/>
        </w:rPr>
      </w:pPr>
      <w:r>
        <w:rPr>
          <w:sz w:val="22"/>
          <w:szCs w:val="22"/>
        </w:rPr>
        <w:t xml:space="preserve">On the other hand, an NTN cell may contain only one satellite beam (the only beam of a single spot satellite or one of the beams of a multi-spot satellite) or it may include multiple beams of a multi-spot satellite. In the former, when mobility is concerned, e.g., due to the mobility of a LEO satellite with moving beams on earth, switching of beams occurs on the cell level and, as a result, handover is required which involves RRC signaling and RRC reconfiguration. In the later, however, the switching of the beams on the ground for the UE occurs on the beam level which involves PHY and MAC layer signaling. </w:t>
      </w:r>
      <w:r w:rsidR="00F23A23">
        <w:rPr>
          <w:sz w:val="22"/>
          <w:szCs w:val="22"/>
        </w:rPr>
        <w:t xml:space="preserve">Beam level switching is preferable over the cell level switching with respect to latency and cost of signaling. However, according to the current specifications in 5G NR, the beam level </w:t>
      </w:r>
      <w:r w:rsidR="001B70FB">
        <w:rPr>
          <w:sz w:val="22"/>
          <w:szCs w:val="22"/>
        </w:rPr>
        <w:t>switching</w:t>
      </w:r>
      <w:r w:rsidR="00F23A23">
        <w:rPr>
          <w:sz w:val="22"/>
          <w:szCs w:val="22"/>
        </w:rPr>
        <w:t xml:space="preserve"> is performed under the assumption that all </w:t>
      </w:r>
      <w:r w:rsidR="001B70FB">
        <w:rPr>
          <w:sz w:val="22"/>
          <w:szCs w:val="22"/>
        </w:rPr>
        <w:t xml:space="preserve">measured </w:t>
      </w:r>
      <w:r w:rsidR="00F23A23">
        <w:rPr>
          <w:sz w:val="22"/>
          <w:szCs w:val="22"/>
        </w:rPr>
        <w:t xml:space="preserve">beams </w:t>
      </w:r>
      <w:r w:rsidR="001B70FB">
        <w:rPr>
          <w:sz w:val="22"/>
          <w:szCs w:val="22"/>
        </w:rPr>
        <w:t xml:space="preserve">(i.e., serving beam and neighbouring beams) </w:t>
      </w:r>
      <w:r w:rsidR="00F23A23">
        <w:rPr>
          <w:sz w:val="22"/>
          <w:szCs w:val="22"/>
        </w:rPr>
        <w:t xml:space="preserve">belong </w:t>
      </w:r>
      <w:r w:rsidR="001B70FB">
        <w:rPr>
          <w:sz w:val="22"/>
          <w:szCs w:val="22"/>
        </w:rPr>
        <w:t xml:space="preserve">to </w:t>
      </w:r>
      <w:r w:rsidR="00F23A23">
        <w:rPr>
          <w:sz w:val="22"/>
          <w:szCs w:val="22"/>
        </w:rPr>
        <w:t>the s</w:t>
      </w:r>
      <w:r w:rsidR="00795E1D">
        <w:rPr>
          <w:sz w:val="22"/>
          <w:szCs w:val="22"/>
        </w:rPr>
        <w:t xml:space="preserve">ame </w:t>
      </w:r>
      <w:r w:rsidR="001B70FB">
        <w:rPr>
          <w:sz w:val="22"/>
          <w:szCs w:val="22"/>
        </w:rPr>
        <w:t>active BWP</w:t>
      </w:r>
      <w:r w:rsidR="00795E1D">
        <w:rPr>
          <w:sz w:val="22"/>
          <w:szCs w:val="22"/>
        </w:rPr>
        <w:t xml:space="preserve"> or</w:t>
      </w:r>
      <w:r w:rsidR="00F23A23">
        <w:rPr>
          <w:sz w:val="22"/>
          <w:szCs w:val="22"/>
        </w:rPr>
        <w:t xml:space="preserve"> the same frequency range, while</w:t>
      </w:r>
      <w:r w:rsidR="00795E1D">
        <w:rPr>
          <w:sz w:val="22"/>
          <w:szCs w:val="22"/>
        </w:rPr>
        <w:t xml:space="preserve"> in NTN and</w:t>
      </w:r>
      <w:r w:rsidR="001B70FB">
        <w:rPr>
          <w:sz w:val="22"/>
          <w:szCs w:val="22"/>
        </w:rPr>
        <w:t xml:space="preserve"> under the</w:t>
      </w:r>
      <w:r w:rsidR="00795E1D">
        <w:rPr>
          <w:sz w:val="22"/>
          <w:szCs w:val="22"/>
        </w:rPr>
        <w:t xml:space="preserve"> consideration of allocating different BWP</w:t>
      </w:r>
      <w:r w:rsidR="001B70FB">
        <w:rPr>
          <w:sz w:val="22"/>
          <w:szCs w:val="22"/>
        </w:rPr>
        <w:t>s</w:t>
      </w:r>
      <w:r w:rsidR="00795E1D">
        <w:rPr>
          <w:sz w:val="22"/>
          <w:szCs w:val="22"/>
        </w:rPr>
        <w:t xml:space="preserve"> to spot beams, the beam level </w:t>
      </w:r>
      <w:r w:rsidR="001B70FB">
        <w:rPr>
          <w:sz w:val="22"/>
          <w:szCs w:val="22"/>
        </w:rPr>
        <w:t xml:space="preserve">measurement (to perform beam level switching) </w:t>
      </w:r>
      <w:r w:rsidR="00795E1D">
        <w:rPr>
          <w:sz w:val="22"/>
          <w:szCs w:val="22"/>
        </w:rPr>
        <w:t xml:space="preserve">is envisioned to be </w:t>
      </w:r>
      <w:r w:rsidR="001B70FB">
        <w:rPr>
          <w:sz w:val="22"/>
          <w:szCs w:val="22"/>
        </w:rPr>
        <w:t>done</w:t>
      </w:r>
      <w:r w:rsidR="00795E1D">
        <w:rPr>
          <w:sz w:val="22"/>
          <w:szCs w:val="22"/>
        </w:rPr>
        <w:t xml:space="preserve"> on different frequency ranges</w:t>
      </w:r>
      <w:r w:rsidR="001B70FB">
        <w:rPr>
          <w:sz w:val="22"/>
          <w:szCs w:val="22"/>
        </w:rPr>
        <w:t xml:space="preserve"> or different BWPs</w:t>
      </w:r>
      <w:r w:rsidR="00795E1D">
        <w:rPr>
          <w:sz w:val="22"/>
          <w:szCs w:val="22"/>
        </w:rPr>
        <w:t>. Thus, it is necessary to enhance the current mecha</w:t>
      </w:r>
      <w:r w:rsidR="003F0798">
        <w:rPr>
          <w:sz w:val="22"/>
          <w:szCs w:val="22"/>
        </w:rPr>
        <w:t xml:space="preserve">nisms and procedures related to beam measurement and BWP management. </w:t>
      </w:r>
    </w:p>
    <w:p w:rsidR="002C0BFF" w:rsidRDefault="002C0BFF" w:rsidP="001B18D0">
      <w:pPr>
        <w:rPr>
          <w:sz w:val="22"/>
          <w:szCs w:val="22"/>
        </w:rPr>
      </w:pPr>
      <w:r>
        <w:rPr>
          <w:sz w:val="22"/>
          <w:szCs w:val="22"/>
        </w:rPr>
        <w:t xml:space="preserve">In the following, we first provide our assessment on the list of issues raised in the </w:t>
      </w:r>
      <w:r w:rsidR="001B18D0" w:rsidRPr="002C0BFF">
        <w:rPr>
          <w:sz w:val="22"/>
          <w:szCs w:val="22"/>
        </w:rPr>
        <w:t>RAN1#104-e</w:t>
      </w:r>
      <w:r>
        <w:rPr>
          <w:sz w:val="22"/>
          <w:szCs w:val="22"/>
        </w:rPr>
        <w:t xml:space="preserve"> meeting. Subsequently,  we provide solution for some of issues requiring enhancement.</w:t>
      </w:r>
    </w:p>
    <w:p w:rsidR="003F0798" w:rsidRDefault="000725DB" w:rsidP="006C6A4C">
      <w:pPr>
        <w:pStyle w:val="Heading1"/>
      </w:pPr>
      <w:r>
        <w:t>NTN Beam Management</w:t>
      </w:r>
      <w:r w:rsidR="00FB1A01">
        <w:t xml:space="preserve"> Issues</w:t>
      </w:r>
      <w:r>
        <w:t xml:space="preserve"> </w:t>
      </w:r>
    </w:p>
    <w:p w:rsidR="00FB0FBE" w:rsidRPr="00FB0FBE" w:rsidRDefault="00FB0FBE" w:rsidP="00FB0FBE">
      <w:pPr>
        <w:rPr>
          <w:sz w:val="22"/>
          <w:szCs w:val="22"/>
        </w:rPr>
      </w:pPr>
      <w:r>
        <w:rPr>
          <w:sz w:val="22"/>
          <w:szCs w:val="22"/>
        </w:rPr>
        <w:t xml:space="preserve">For the assessment of the following issues, our assumption is that for realization of frequency reuse factor (FRF) greater that one, BWP mechanism together with polarization option are employed. </w:t>
      </w:r>
    </w:p>
    <w:p w:rsidR="000725DB" w:rsidRDefault="00FB0FBE" w:rsidP="000725DB">
      <w:pPr>
        <w:pStyle w:val="Heading2"/>
      </w:pPr>
      <w:r>
        <w:t xml:space="preserve">Issue 1: BWP and Beam Association </w:t>
      </w:r>
    </w:p>
    <w:p w:rsidR="00E4724F" w:rsidRDefault="00FB0FBE" w:rsidP="00FB0FBE">
      <w:pPr>
        <w:rPr>
          <w:sz w:val="22"/>
          <w:szCs w:val="22"/>
        </w:rPr>
      </w:pPr>
      <w:r>
        <w:rPr>
          <w:sz w:val="22"/>
          <w:szCs w:val="22"/>
        </w:rPr>
        <w:t xml:space="preserve">To the best of our understanding, Issue 1 is a valid concern. </w:t>
      </w:r>
      <w:r w:rsidR="00AE0523">
        <w:rPr>
          <w:sz w:val="22"/>
          <w:szCs w:val="22"/>
        </w:rPr>
        <w:t xml:space="preserve">NR BWP is not directly associated with a beam, however, several companies pointed out that such association can be implicitly assumed and supported with the current specs. On the other hand, even with the existence of implicit association </w:t>
      </w:r>
      <w:r w:rsidR="00982B0D">
        <w:rPr>
          <w:sz w:val="22"/>
          <w:szCs w:val="22"/>
        </w:rPr>
        <w:t>between</w:t>
      </w:r>
      <w:r w:rsidR="00AE0523">
        <w:rPr>
          <w:sz w:val="22"/>
          <w:szCs w:val="22"/>
        </w:rPr>
        <w:t xml:space="preserve"> NR BWP and a beam, TCI beam switching does not trigger BWP switc</w:t>
      </w:r>
      <w:r w:rsidR="006543F1">
        <w:rPr>
          <w:sz w:val="22"/>
          <w:szCs w:val="22"/>
        </w:rPr>
        <w:t>hing. From this perspective, an</w:t>
      </w:r>
      <w:r w:rsidR="00AE0523">
        <w:rPr>
          <w:sz w:val="22"/>
          <w:szCs w:val="22"/>
        </w:rPr>
        <w:t xml:space="preserve"> enhancement </w:t>
      </w:r>
      <w:r w:rsidR="006543F1">
        <w:rPr>
          <w:sz w:val="22"/>
          <w:szCs w:val="22"/>
        </w:rPr>
        <w:t xml:space="preserve">is required. </w:t>
      </w:r>
      <w:r w:rsidR="00982B0D">
        <w:rPr>
          <w:sz w:val="22"/>
          <w:szCs w:val="22"/>
        </w:rPr>
        <w:t xml:space="preserve">To this end, </w:t>
      </w:r>
      <w:r w:rsidR="00E4724F">
        <w:rPr>
          <w:sz w:val="22"/>
          <w:szCs w:val="22"/>
        </w:rPr>
        <w:t>we believe that any potential enhancement should not lead to the scenario where switching beam “always” triggers  BWP switching and vice versa.</w:t>
      </w:r>
    </w:p>
    <w:p w:rsidR="00FB0FBE" w:rsidRDefault="00E4724F" w:rsidP="00FB0FBE">
      <w:pPr>
        <w:rPr>
          <w:b/>
          <w:bCs/>
          <w:sz w:val="22"/>
          <w:szCs w:val="22"/>
        </w:rPr>
      </w:pPr>
      <w:r>
        <w:rPr>
          <w:b/>
          <w:bCs/>
          <w:sz w:val="22"/>
          <w:szCs w:val="22"/>
        </w:rPr>
        <w:t xml:space="preserve">Observation 1: Switching Beam should not always trigger BWP switching and vice versa. </w:t>
      </w:r>
    </w:p>
    <w:p w:rsidR="00E4724F" w:rsidRDefault="00E4724F" w:rsidP="00FF3E60">
      <w:pPr>
        <w:rPr>
          <w:b/>
          <w:bCs/>
          <w:sz w:val="22"/>
          <w:szCs w:val="22"/>
        </w:rPr>
      </w:pPr>
      <w:r>
        <w:rPr>
          <w:b/>
          <w:bCs/>
          <w:sz w:val="22"/>
          <w:szCs w:val="22"/>
        </w:rPr>
        <w:t xml:space="preserve">Observation 2: </w:t>
      </w:r>
      <w:r w:rsidR="001B217A">
        <w:rPr>
          <w:b/>
          <w:bCs/>
          <w:sz w:val="22"/>
          <w:szCs w:val="22"/>
        </w:rPr>
        <w:t>Enhancement of TCI beam switching</w:t>
      </w:r>
      <w:r w:rsidR="00FF3E60">
        <w:rPr>
          <w:b/>
          <w:bCs/>
          <w:sz w:val="22"/>
          <w:szCs w:val="22"/>
        </w:rPr>
        <w:t xml:space="preserve"> or introduction of a new beam switching mechanism</w:t>
      </w:r>
      <w:r w:rsidR="001B217A">
        <w:rPr>
          <w:b/>
          <w:bCs/>
          <w:sz w:val="22"/>
          <w:szCs w:val="22"/>
        </w:rPr>
        <w:t xml:space="preserve"> that assists NTN UE switch BWP is required, taking the constraint of Observation 1 into account. </w:t>
      </w:r>
    </w:p>
    <w:p w:rsidR="001B217A" w:rsidRDefault="00E42A06" w:rsidP="00F53CC3">
      <w:pPr>
        <w:pStyle w:val="Heading2"/>
      </w:pPr>
      <w:r>
        <w:t>Issue 2: Joint UL and DL BWP S</w:t>
      </w:r>
      <w:r w:rsidR="00F53CC3">
        <w:t>witch in FDD</w:t>
      </w:r>
    </w:p>
    <w:p w:rsidR="00F53CC3" w:rsidRDefault="00F53CC3" w:rsidP="00F53CC3">
      <w:pPr>
        <w:rPr>
          <w:sz w:val="22"/>
          <w:szCs w:val="22"/>
        </w:rPr>
      </w:pPr>
      <w:r>
        <w:rPr>
          <w:sz w:val="22"/>
          <w:szCs w:val="22"/>
        </w:rPr>
        <w:t>In our view, this is a valid issue. However, discussion regarding this issue is</w:t>
      </w:r>
      <w:r w:rsidR="00BE5F15">
        <w:rPr>
          <w:sz w:val="22"/>
          <w:szCs w:val="22"/>
        </w:rPr>
        <w:t xml:space="preserve"> the</w:t>
      </w:r>
      <w:r>
        <w:rPr>
          <w:sz w:val="22"/>
          <w:szCs w:val="22"/>
        </w:rPr>
        <w:t xml:space="preserve"> second level detail and can be further analysed and discussed once the potential enhancement related to the first issue is resolve.</w:t>
      </w:r>
      <w:r w:rsidR="0019007A">
        <w:rPr>
          <w:sz w:val="22"/>
          <w:szCs w:val="22"/>
        </w:rPr>
        <w:t xml:space="preserve"> Furthermore, the number of configured DL and UL BWPs are not necessarily equal. Thus, one-to-one mapping between DL BWP and UL BWP may not be possible at all.  </w:t>
      </w:r>
      <w:r>
        <w:rPr>
          <w:sz w:val="22"/>
          <w:szCs w:val="22"/>
        </w:rPr>
        <w:t xml:space="preserve"> </w:t>
      </w:r>
    </w:p>
    <w:p w:rsidR="00F53CC3" w:rsidRDefault="00F53CC3" w:rsidP="00F53CC3">
      <w:pPr>
        <w:rPr>
          <w:b/>
          <w:bCs/>
          <w:sz w:val="22"/>
          <w:szCs w:val="22"/>
        </w:rPr>
      </w:pPr>
      <w:r>
        <w:rPr>
          <w:b/>
          <w:bCs/>
          <w:sz w:val="22"/>
          <w:szCs w:val="22"/>
        </w:rPr>
        <w:t xml:space="preserve">Observation 3: </w:t>
      </w:r>
      <w:r w:rsidR="00BE5F15">
        <w:rPr>
          <w:b/>
          <w:bCs/>
          <w:sz w:val="22"/>
          <w:szCs w:val="22"/>
        </w:rPr>
        <w:t>In NTN,</w:t>
      </w:r>
      <w:r w:rsidR="0019007A">
        <w:rPr>
          <w:b/>
          <w:bCs/>
          <w:sz w:val="22"/>
          <w:szCs w:val="22"/>
        </w:rPr>
        <w:t xml:space="preserve"> the issue related to</w:t>
      </w:r>
      <w:r w:rsidR="00BE5F15">
        <w:rPr>
          <w:b/>
          <w:bCs/>
          <w:sz w:val="22"/>
          <w:szCs w:val="22"/>
        </w:rPr>
        <w:t xml:space="preserve"> joint UL</w:t>
      </w:r>
      <w:r w:rsidR="0019007A">
        <w:rPr>
          <w:b/>
          <w:bCs/>
          <w:sz w:val="22"/>
          <w:szCs w:val="22"/>
        </w:rPr>
        <w:t xml:space="preserve"> BWP</w:t>
      </w:r>
      <w:r w:rsidR="00BE5F15">
        <w:rPr>
          <w:b/>
          <w:bCs/>
          <w:sz w:val="22"/>
          <w:szCs w:val="22"/>
        </w:rPr>
        <w:t xml:space="preserve"> and DL BWP switching in </w:t>
      </w:r>
      <w:r w:rsidR="0019007A">
        <w:rPr>
          <w:b/>
          <w:bCs/>
          <w:sz w:val="22"/>
          <w:szCs w:val="22"/>
        </w:rPr>
        <w:t xml:space="preserve">FDD and for FRF &gt; 1 should be discussed after the issue with association between beams and BWP is resolved. </w:t>
      </w:r>
    </w:p>
    <w:p w:rsidR="0019007A" w:rsidRDefault="0019007A" w:rsidP="0019007A">
      <w:pPr>
        <w:pStyle w:val="Heading2"/>
      </w:pPr>
      <w:r>
        <w:lastRenderedPageBreak/>
        <w:t>Issue 3: BWP Switching with Data Scheduling</w:t>
      </w:r>
    </w:p>
    <w:p w:rsidR="00AA0BDD" w:rsidRDefault="0019007A" w:rsidP="0019007A">
      <w:pPr>
        <w:rPr>
          <w:sz w:val="22"/>
          <w:szCs w:val="22"/>
        </w:rPr>
      </w:pPr>
      <w:r>
        <w:rPr>
          <w:sz w:val="22"/>
          <w:szCs w:val="22"/>
        </w:rPr>
        <w:t>To the best of our understanding, I</w:t>
      </w:r>
      <w:r w:rsidR="00AA0BDD">
        <w:rPr>
          <w:sz w:val="22"/>
          <w:szCs w:val="22"/>
        </w:rPr>
        <w:t xml:space="preserve">ssue 3, is not a valid issue. In particular, according to the current specs, BWP switch can be trigger via downlink control information (DCI) without scheduling DL data. However, switching BWP prior to data arrival is not preferable. </w:t>
      </w:r>
    </w:p>
    <w:p w:rsidR="007920B2" w:rsidRDefault="00AA0BDD" w:rsidP="0019007A">
      <w:pPr>
        <w:rPr>
          <w:b/>
          <w:bCs/>
          <w:sz w:val="22"/>
          <w:szCs w:val="22"/>
        </w:rPr>
      </w:pPr>
      <w:r>
        <w:rPr>
          <w:b/>
          <w:bCs/>
          <w:sz w:val="22"/>
          <w:szCs w:val="22"/>
        </w:rPr>
        <w:t>O</w:t>
      </w:r>
      <w:r w:rsidR="007920B2">
        <w:rPr>
          <w:b/>
          <w:bCs/>
          <w:sz w:val="22"/>
          <w:szCs w:val="22"/>
        </w:rPr>
        <w:t xml:space="preserve">bservation 4: The necessity in BWP switching with data scheduling is not a valid issue. </w:t>
      </w:r>
    </w:p>
    <w:p w:rsidR="00596F5C" w:rsidRDefault="007920B2" w:rsidP="00AB2633">
      <w:pPr>
        <w:rPr>
          <w:b/>
          <w:bCs/>
          <w:sz w:val="22"/>
          <w:szCs w:val="22"/>
        </w:rPr>
      </w:pPr>
      <w:r>
        <w:rPr>
          <w:b/>
          <w:bCs/>
          <w:sz w:val="22"/>
          <w:szCs w:val="22"/>
        </w:rPr>
        <w:t xml:space="preserve">Proposal 1: In NTN, it is sufficient to switch the BWP when data is scheduled. </w:t>
      </w:r>
    </w:p>
    <w:p w:rsidR="00596F5C" w:rsidRDefault="00596F5C" w:rsidP="00596F5C">
      <w:pPr>
        <w:pStyle w:val="Heading2"/>
      </w:pPr>
      <w:r>
        <w:t xml:space="preserve">Issue 4: BWP Switching and Synchronization </w:t>
      </w:r>
    </w:p>
    <w:p w:rsidR="00F815D3" w:rsidRDefault="0037465D" w:rsidP="00AB2633">
      <w:pPr>
        <w:rPr>
          <w:sz w:val="22"/>
          <w:szCs w:val="22"/>
        </w:rPr>
      </w:pPr>
      <w:r>
        <w:rPr>
          <w:sz w:val="22"/>
          <w:szCs w:val="22"/>
        </w:rPr>
        <w:t>Based on the current specifications, switching BW</w:t>
      </w:r>
      <w:r w:rsidR="00117A40">
        <w:rPr>
          <w:sz w:val="22"/>
          <w:szCs w:val="22"/>
        </w:rPr>
        <w:t>P does not require re-synchroniz</w:t>
      </w:r>
      <w:r>
        <w:rPr>
          <w:sz w:val="22"/>
          <w:szCs w:val="22"/>
        </w:rPr>
        <w:t>a</w:t>
      </w:r>
      <w:r w:rsidR="002E09DD">
        <w:rPr>
          <w:sz w:val="22"/>
          <w:szCs w:val="22"/>
        </w:rPr>
        <w:t>tion. We ha</w:t>
      </w:r>
      <w:r w:rsidR="00117A40">
        <w:rPr>
          <w:sz w:val="22"/>
          <w:szCs w:val="22"/>
        </w:rPr>
        <w:t>rdly see the need in performing re-synchronization after BWP switching since all beams, and consequently BWP, are transmitted from the same satellite</w:t>
      </w:r>
      <w:r w:rsidR="00F815D3">
        <w:rPr>
          <w:sz w:val="22"/>
          <w:szCs w:val="22"/>
        </w:rPr>
        <w:t xml:space="preserve"> and most likely are QCL. </w:t>
      </w:r>
    </w:p>
    <w:p w:rsidR="00F815D3" w:rsidRDefault="00F815D3" w:rsidP="00AB2633">
      <w:pPr>
        <w:rPr>
          <w:b/>
          <w:bCs/>
          <w:sz w:val="22"/>
          <w:szCs w:val="22"/>
        </w:rPr>
      </w:pPr>
      <w:r>
        <w:rPr>
          <w:b/>
          <w:bCs/>
          <w:sz w:val="22"/>
          <w:szCs w:val="22"/>
        </w:rPr>
        <w:t xml:space="preserve">Observation 5: Re-synchronization after beam/BWP in NTN is not required. </w:t>
      </w:r>
    </w:p>
    <w:p w:rsidR="00AB2633" w:rsidRPr="0037465D" w:rsidRDefault="00FC70AD" w:rsidP="00FB1A01">
      <w:pPr>
        <w:pStyle w:val="Heading2"/>
      </w:pPr>
      <w:r>
        <w:t xml:space="preserve">Issue 5: </w:t>
      </w:r>
      <w:r w:rsidR="00FB1A01">
        <w:t>Mechanisms of Configured BWP S</w:t>
      </w:r>
      <w:r w:rsidR="00FB1A01" w:rsidRPr="00FB1A01">
        <w:t>witching</w:t>
      </w:r>
    </w:p>
    <w:p w:rsidR="0019007A" w:rsidRDefault="00FB1A01" w:rsidP="0019007A">
      <w:pPr>
        <w:rPr>
          <w:sz w:val="22"/>
          <w:szCs w:val="22"/>
        </w:rPr>
      </w:pPr>
      <w:r w:rsidRPr="00FB1A01">
        <w:rPr>
          <w:sz w:val="22"/>
          <w:szCs w:val="22"/>
        </w:rPr>
        <w:t xml:space="preserve">Indeed, issue 5 is a relevant issue. Specifically, the predictive motion of the satellite shall be taken into account for the </w:t>
      </w:r>
      <w:r>
        <w:rPr>
          <w:sz w:val="22"/>
          <w:szCs w:val="22"/>
        </w:rPr>
        <w:t xml:space="preserve">beam/BWP management enhancement in NTN. </w:t>
      </w:r>
    </w:p>
    <w:p w:rsidR="00BC7FD6" w:rsidRDefault="00FB1A01" w:rsidP="0019007A">
      <w:pPr>
        <w:rPr>
          <w:b/>
          <w:bCs/>
          <w:sz w:val="22"/>
          <w:szCs w:val="22"/>
        </w:rPr>
      </w:pPr>
      <w:r>
        <w:rPr>
          <w:b/>
          <w:bCs/>
          <w:sz w:val="22"/>
          <w:szCs w:val="22"/>
        </w:rPr>
        <w:t xml:space="preserve">Observation 6: </w:t>
      </w:r>
      <w:r w:rsidR="00BC7FD6">
        <w:rPr>
          <w:b/>
          <w:bCs/>
          <w:sz w:val="22"/>
          <w:szCs w:val="22"/>
        </w:rPr>
        <w:t xml:space="preserve">Predictive movement of a satellite should be exploited for </w:t>
      </w:r>
      <w:r w:rsidR="00BC7FD6" w:rsidRPr="00BC7FD6">
        <w:rPr>
          <w:b/>
          <w:bCs/>
          <w:sz w:val="22"/>
          <w:szCs w:val="22"/>
        </w:rPr>
        <w:t xml:space="preserve">beam/BWP management enhancement in NTN. </w:t>
      </w:r>
    </w:p>
    <w:p w:rsidR="00FB1A01" w:rsidRDefault="00BC7FD6" w:rsidP="00E42A06">
      <w:pPr>
        <w:pStyle w:val="Heading2"/>
      </w:pPr>
      <w:r>
        <w:t xml:space="preserve">Issue 6: </w:t>
      </w:r>
      <w:r w:rsidR="00E42A06">
        <w:t>BWP Switching Triggers for non</w:t>
      </w:r>
      <w:r w:rsidR="00F21C2D">
        <w:t>e</w:t>
      </w:r>
      <w:r w:rsidR="00E42A06">
        <w:t xml:space="preserve">-Beam Switching Mechanisms  </w:t>
      </w:r>
    </w:p>
    <w:p w:rsidR="00F21C2D" w:rsidRDefault="00E42A06" w:rsidP="00F21C2D">
      <w:pPr>
        <w:rPr>
          <w:rFonts w:asciiTheme="minorBidi" w:hAnsiTheme="minorBidi" w:cstheme="minorBidi"/>
          <w:sz w:val="22"/>
          <w:szCs w:val="22"/>
          <w:lang w:eastAsia="x-none"/>
        </w:rPr>
      </w:pPr>
      <w:r>
        <w:rPr>
          <w:sz w:val="22"/>
          <w:szCs w:val="22"/>
        </w:rPr>
        <w:t>This is a valid issue. It should be clear for the NTN UE that</w:t>
      </w:r>
      <w:r w:rsidR="00F21C2D">
        <w:rPr>
          <w:sz w:val="22"/>
          <w:szCs w:val="22"/>
        </w:rPr>
        <w:t xml:space="preserve"> the triggered</w:t>
      </w:r>
      <w:r>
        <w:rPr>
          <w:sz w:val="22"/>
          <w:szCs w:val="22"/>
        </w:rPr>
        <w:t xml:space="preserve"> BWP switch</w:t>
      </w:r>
      <w:r w:rsidR="00F21C2D">
        <w:rPr>
          <w:sz w:val="22"/>
          <w:szCs w:val="22"/>
        </w:rPr>
        <w:t xml:space="preserve"> is associated with beam switching or none-beam switching purposes, e.g., due to the “</w:t>
      </w:r>
      <w:proofErr w:type="spellStart"/>
      <w:r w:rsidR="00F21C2D" w:rsidRPr="00F21C2D">
        <w:rPr>
          <w:rFonts w:asciiTheme="minorBidi" w:hAnsiTheme="minorBidi" w:cstheme="minorBidi"/>
          <w:i/>
          <w:iCs/>
          <w:sz w:val="22"/>
          <w:szCs w:val="22"/>
          <w:lang w:eastAsia="x-none"/>
        </w:rPr>
        <w:t>bwpInactivityTimer</w:t>
      </w:r>
      <w:proofErr w:type="spellEnd"/>
      <w:r w:rsidR="00F21C2D">
        <w:rPr>
          <w:rFonts w:asciiTheme="minorBidi" w:hAnsiTheme="minorBidi" w:cstheme="minorBidi"/>
          <w:sz w:val="22"/>
          <w:szCs w:val="22"/>
          <w:lang w:eastAsia="x-none"/>
        </w:rPr>
        <w:t xml:space="preserve">”, RA procedure, bandwidth adaptation, flexible radio resource scheduling, etc. With this respect, an enhancement is required. This issue is also closely related to issue 1. In the next Section, we provide our proposed solution regarding issue 5. </w:t>
      </w:r>
    </w:p>
    <w:p w:rsidR="00E42A06" w:rsidRDefault="00F21C2D" w:rsidP="00C31A17">
      <w:pPr>
        <w:rPr>
          <w:rFonts w:asciiTheme="minorBidi" w:hAnsiTheme="minorBidi" w:cstheme="minorBidi"/>
          <w:b/>
          <w:bCs/>
          <w:sz w:val="22"/>
          <w:szCs w:val="22"/>
          <w:lang w:eastAsia="x-none"/>
        </w:rPr>
      </w:pPr>
      <w:r>
        <w:rPr>
          <w:rFonts w:asciiTheme="minorBidi" w:hAnsiTheme="minorBidi" w:cstheme="minorBidi"/>
          <w:b/>
          <w:bCs/>
          <w:sz w:val="22"/>
          <w:szCs w:val="22"/>
          <w:lang w:eastAsia="x-none"/>
        </w:rPr>
        <w:t>Observation 7: It should be clear for NTN UE if</w:t>
      </w:r>
      <w:r w:rsidR="00C31A17">
        <w:rPr>
          <w:rFonts w:asciiTheme="minorBidi" w:hAnsiTheme="minorBidi" w:cstheme="minorBidi"/>
          <w:b/>
          <w:bCs/>
          <w:sz w:val="22"/>
          <w:szCs w:val="22"/>
          <w:lang w:eastAsia="x-none"/>
        </w:rPr>
        <w:t xml:space="preserve"> the triggered</w:t>
      </w:r>
      <w:r>
        <w:rPr>
          <w:rFonts w:asciiTheme="minorBidi" w:hAnsiTheme="minorBidi" w:cstheme="minorBidi"/>
          <w:b/>
          <w:bCs/>
          <w:sz w:val="22"/>
          <w:szCs w:val="22"/>
          <w:lang w:eastAsia="x-none"/>
        </w:rPr>
        <w:t xml:space="preserve"> BWP switch </w:t>
      </w:r>
      <w:r w:rsidR="00C31A17">
        <w:rPr>
          <w:rFonts w:asciiTheme="minorBidi" w:hAnsiTheme="minorBidi" w:cstheme="minorBidi"/>
          <w:b/>
          <w:bCs/>
          <w:sz w:val="22"/>
          <w:szCs w:val="22"/>
          <w:lang w:eastAsia="x-none"/>
        </w:rPr>
        <w:t xml:space="preserve">is associated with beam switching or none-beam switching procedures. </w:t>
      </w:r>
    </w:p>
    <w:p w:rsidR="00C31A17" w:rsidRDefault="00187238" w:rsidP="00187238">
      <w:pPr>
        <w:pStyle w:val="Heading2"/>
      </w:pPr>
      <w:r>
        <w:t xml:space="preserve">Issue 7: UE Common BWP switching </w:t>
      </w:r>
    </w:p>
    <w:p w:rsidR="00E23ADB" w:rsidRDefault="00187238" w:rsidP="0086587C">
      <w:pPr>
        <w:rPr>
          <w:sz w:val="22"/>
          <w:szCs w:val="22"/>
        </w:rPr>
      </w:pPr>
      <w:r>
        <w:rPr>
          <w:sz w:val="22"/>
          <w:szCs w:val="22"/>
        </w:rPr>
        <w:t>To the best of our understanding, this is a valid issue only for the case where</w:t>
      </w:r>
      <w:r w:rsidR="0086587C">
        <w:rPr>
          <w:sz w:val="22"/>
          <w:szCs w:val="22"/>
        </w:rPr>
        <w:t xml:space="preserve"> satellite with fixed beam is concerned. For the case where satellite with moving beam is concerned, UE common signaling may not be a justified solution. In this case, i.e., a satellite with moving beam on ground, all UEs that are close to the boarder of the serving beam are most likely to be switched to the adjacent beams in a certain window of time, while UEs close to the beam </w:t>
      </w:r>
      <w:r w:rsidR="006F42A0">
        <w:rPr>
          <w:sz w:val="22"/>
          <w:szCs w:val="22"/>
        </w:rPr>
        <w:t>centre</w:t>
      </w:r>
      <w:r w:rsidR="0086587C">
        <w:rPr>
          <w:sz w:val="22"/>
          <w:szCs w:val="22"/>
        </w:rPr>
        <w:t xml:space="preserve"> are less likely to be switched to the adjacent beams at the same time. As a result of this, UE common signaling </w:t>
      </w:r>
      <w:r w:rsidR="00E23ADB">
        <w:rPr>
          <w:sz w:val="22"/>
          <w:szCs w:val="22"/>
        </w:rPr>
        <w:t xml:space="preserve">provides unnecessary disruption for UEs close the beam </w:t>
      </w:r>
      <w:r w:rsidR="006F42A0">
        <w:rPr>
          <w:sz w:val="22"/>
          <w:szCs w:val="22"/>
        </w:rPr>
        <w:t>centre</w:t>
      </w:r>
      <w:r w:rsidR="00E23ADB">
        <w:rPr>
          <w:sz w:val="22"/>
          <w:szCs w:val="22"/>
        </w:rPr>
        <w:t xml:space="preserve">. </w:t>
      </w:r>
    </w:p>
    <w:p w:rsidR="00187238" w:rsidRPr="00187238" w:rsidRDefault="00E23ADB" w:rsidP="0086587C">
      <w:pPr>
        <w:rPr>
          <w:sz w:val="22"/>
          <w:szCs w:val="22"/>
        </w:rPr>
      </w:pPr>
      <w:r>
        <w:rPr>
          <w:b/>
          <w:bCs/>
          <w:sz w:val="22"/>
          <w:szCs w:val="22"/>
        </w:rPr>
        <w:t xml:space="preserve">Observation 8: UE common signaling for beam/BWP switching can be further studied for a satellite with fixed beams scenario.  </w:t>
      </w:r>
      <w:r w:rsidR="0086587C">
        <w:rPr>
          <w:sz w:val="22"/>
          <w:szCs w:val="22"/>
        </w:rPr>
        <w:t xml:space="preserve"> </w:t>
      </w:r>
    </w:p>
    <w:p w:rsidR="00686D8D" w:rsidRDefault="00686D8D" w:rsidP="00686D8D">
      <w:pPr>
        <w:pStyle w:val="Heading1"/>
        <w:rPr>
          <w:lang w:eastAsia="ja-JP"/>
        </w:rPr>
      </w:pPr>
      <w:r>
        <w:rPr>
          <w:lang w:eastAsia="ja-JP"/>
        </w:rPr>
        <w:t xml:space="preserve">Beam Management </w:t>
      </w:r>
    </w:p>
    <w:p w:rsidR="007E2037" w:rsidRDefault="00550E62" w:rsidP="007F0C4F">
      <w:pPr>
        <w:rPr>
          <w:sz w:val="22"/>
          <w:szCs w:val="22"/>
          <w:lang w:eastAsia="ja-JP"/>
        </w:rPr>
      </w:pPr>
      <w:r w:rsidRPr="00FB0FBE">
        <w:rPr>
          <w:sz w:val="22"/>
          <w:szCs w:val="22"/>
          <w:lang w:eastAsia="ja-JP"/>
        </w:rPr>
        <w:t>I</w:t>
      </w:r>
      <w:r w:rsidR="007A7641" w:rsidRPr="00FB0FBE">
        <w:rPr>
          <w:sz w:val="22"/>
          <w:szCs w:val="22"/>
          <w:lang w:eastAsia="ja-JP"/>
        </w:rPr>
        <w:t>n the context of NTN</w:t>
      </w:r>
      <w:r w:rsidR="00FA6333" w:rsidRPr="00FB0FBE">
        <w:rPr>
          <w:sz w:val="22"/>
          <w:szCs w:val="22"/>
          <w:lang w:eastAsia="ja-JP"/>
        </w:rPr>
        <w:t>,</w:t>
      </w:r>
      <w:r w:rsidR="007A7641" w:rsidRPr="00FB0FBE">
        <w:rPr>
          <w:sz w:val="22"/>
          <w:szCs w:val="22"/>
          <w:lang w:eastAsia="ja-JP"/>
        </w:rPr>
        <w:t xml:space="preserve"> </w:t>
      </w:r>
      <w:r w:rsidR="00FA6333" w:rsidRPr="00FB0FBE">
        <w:rPr>
          <w:sz w:val="22"/>
          <w:szCs w:val="22"/>
          <w:lang w:eastAsia="ja-JP"/>
        </w:rPr>
        <w:t>there is a consensus on using</w:t>
      </w:r>
      <w:r w:rsidR="00E37CA2" w:rsidRPr="00FB0FBE">
        <w:rPr>
          <w:sz w:val="22"/>
          <w:szCs w:val="22"/>
          <w:lang w:eastAsia="ja-JP"/>
        </w:rPr>
        <w:t xml:space="preserve"> BWP</w:t>
      </w:r>
      <w:r w:rsidR="00FA6333" w:rsidRPr="00FB0FBE">
        <w:rPr>
          <w:sz w:val="22"/>
          <w:szCs w:val="22"/>
          <w:lang w:eastAsia="ja-JP"/>
        </w:rPr>
        <w:t xml:space="preserve"> procedures and mechanisms</w:t>
      </w:r>
      <w:r w:rsidR="00E37CA2" w:rsidRPr="00FB0FBE">
        <w:rPr>
          <w:sz w:val="22"/>
          <w:szCs w:val="22"/>
          <w:lang w:eastAsia="ja-JP"/>
        </w:rPr>
        <w:t xml:space="preserve"> as a mean to allocate different frequency ranges to different satellite beams</w:t>
      </w:r>
      <w:r w:rsidRPr="00FB0FBE">
        <w:rPr>
          <w:sz w:val="22"/>
          <w:szCs w:val="22"/>
          <w:lang w:eastAsia="ja-JP"/>
        </w:rPr>
        <w:t xml:space="preserve"> to realize frequency reuse factors greater than one.</w:t>
      </w:r>
      <w:r w:rsidR="00E37CA2" w:rsidRPr="00FB0FBE">
        <w:rPr>
          <w:sz w:val="22"/>
          <w:szCs w:val="22"/>
          <w:lang w:eastAsia="ja-JP"/>
        </w:rPr>
        <w:t xml:space="preserve"> </w:t>
      </w:r>
      <w:r w:rsidR="007E2037">
        <w:rPr>
          <w:sz w:val="22"/>
          <w:szCs w:val="22"/>
          <w:lang w:eastAsia="ja-JP"/>
        </w:rPr>
        <w:t xml:space="preserve">In the following, we propose solutions for some of the identified valid issues mentioned above. </w:t>
      </w:r>
    </w:p>
    <w:p w:rsidR="007E2037" w:rsidRDefault="007E2037" w:rsidP="007E2037">
      <w:pPr>
        <w:pStyle w:val="Heading2"/>
        <w:rPr>
          <w:lang w:eastAsia="ja-JP"/>
        </w:rPr>
      </w:pPr>
      <w:r>
        <w:rPr>
          <w:lang w:eastAsia="ja-JP"/>
        </w:rPr>
        <w:lastRenderedPageBreak/>
        <w:t>Issue 6</w:t>
      </w:r>
      <w:r w:rsidR="00536DFE">
        <w:rPr>
          <w:lang w:eastAsia="ja-JP"/>
        </w:rPr>
        <w:t xml:space="preserve"> </w:t>
      </w:r>
    </w:p>
    <w:p w:rsidR="0008521D" w:rsidRPr="00FB0FBE" w:rsidRDefault="007E2037" w:rsidP="007F0C4F">
      <w:pPr>
        <w:rPr>
          <w:sz w:val="22"/>
          <w:szCs w:val="22"/>
          <w:lang w:eastAsia="ja-JP"/>
        </w:rPr>
      </w:pPr>
      <w:r>
        <w:rPr>
          <w:sz w:val="22"/>
          <w:szCs w:val="22"/>
          <w:lang w:eastAsia="ja-JP"/>
        </w:rPr>
        <w:t>A</w:t>
      </w:r>
      <w:r w:rsidR="00550E62" w:rsidRPr="00FB0FBE">
        <w:rPr>
          <w:sz w:val="22"/>
          <w:szCs w:val="22"/>
          <w:lang w:eastAsia="ja-JP"/>
        </w:rPr>
        <w:t>ccording to the current specifications</w:t>
      </w:r>
      <w:r w:rsidR="00FA6333" w:rsidRPr="00FB0FBE">
        <w:rPr>
          <w:sz w:val="22"/>
          <w:szCs w:val="22"/>
          <w:lang w:eastAsia="ja-JP"/>
        </w:rPr>
        <w:t>,</w:t>
      </w:r>
      <w:r w:rsidR="00550E62" w:rsidRPr="00FB0FBE">
        <w:rPr>
          <w:sz w:val="22"/>
          <w:szCs w:val="22"/>
          <w:lang w:eastAsia="ja-JP"/>
        </w:rPr>
        <w:t xml:space="preserve"> up to four DL and four </w:t>
      </w:r>
      <w:r w:rsidR="007F0C4F" w:rsidRPr="00FB0FBE">
        <w:rPr>
          <w:sz w:val="22"/>
          <w:szCs w:val="22"/>
          <w:lang w:eastAsia="ja-JP"/>
        </w:rPr>
        <w:t>UL</w:t>
      </w:r>
      <w:r w:rsidR="00550E62" w:rsidRPr="00FB0FBE">
        <w:rPr>
          <w:sz w:val="22"/>
          <w:szCs w:val="22"/>
          <w:lang w:eastAsia="ja-JP"/>
        </w:rPr>
        <w:t xml:space="preserve"> BWPs can be configured for UE. As a result of this, in order to maintain the current </w:t>
      </w:r>
      <w:r w:rsidR="00FA6333" w:rsidRPr="00FB0FBE">
        <w:rPr>
          <w:sz w:val="22"/>
          <w:szCs w:val="22"/>
          <w:lang w:eastAsia="ja-JP"/>
        </w:rPr>
        <w:t>use cases of BWP</w:t>
      </w:r>
      <w:r w:rsidR="00161F99" w:rsidRPr="00FB0FBE">
        <w:rPr>
          <w:sz w:val="22"/>
          <w:szCs w:val="22"/>
          <w:lang w:eastAsia="ja-JP"/>
        </w:rPr>
        <w:t xml:space="preserve"> </w:t>
      </w:r>
      <w:r w:rsidR="009E5872" w:rsidRPr="00FB0FBE">
        <w:rPr>
          <w:sz w:val="22"/>
          <w:szCs w:val="22"/>
          <w:lang w:eastAsia="ja-JP"/>
        </w:rPr>
        <w:t xml:space="preserve">mechanism (i.e., bandwidth adaptation, support devices with different bandwidth capabilities, and flexible radio resource scheduling) and distinguish them from the new use case of BWP in NTN, the number of configured DL and UL BWPs should be increased for NTN. </w:t>
      </w:r>
      <w:r w:rsidR="00FA6333" w:rsidRPr="00FB0FBE">
        <w:rPr>
          <w:sz w:val="22"/>
          <w:szCs w:val="22"/>
          <w:lang w:eastAsia="ja-JP"/>
        </w:rPr>
        <w:t xml:space="preserve"> </w:t>
      </w:r>
      <w:r w:rsidR="00550E62" w:rsidRPr="00FB0FBE">
        <w:rPr>
          <w:sz w:val="22"/>
          <w:szCs w:val="22"/>
          <w:lang w:eastAsia="ja-JP"/>
        </w:rPr>
        <w:t xml:space="preserve">  </w:t>
      </w:r>
      <w:r w:rsidR="00E37CA2" w:rsidRPr="00FB0FBE">
        <w:rPr>
          <w:sz w:val="22"/>
          <w:szCs w:val="22"/>
          <w:lang w:eastAsia="ja-JP"/>
        </w:rPr>
        <w:t xml:space="preserve"> </w:t>
      </w:r>
    </w:p>
    <w:p w:rsidR="009E5872" w:rsidRPr="00FB0FBE" w:rsidRDefault="00033A75" w:rsidP="00686D8D">
      <w:pPr>
        <w:rPr>
          <w:b/>
          <w:bCs/>
          <w:sz w:val="22"/>
          <w:szCs w:val="22"/>
          <w:lang w:eastAsia="ja-JP"/>
        </w:rPr>
      </w:pPr>
      <w:r>
        <w:rPr>
          <w:b/>
          <w:bCs/>
          <w:sz w:val="22"/>
          <w:szCs w:val="22"/>
          <w:lang w:eastAsia="ja-JP"/>
        </w:rPr>
        <w:t>Observation 9</w:t>
      </w:r>
      <w:r w:rsidR="009E5872" w:rsidRPr="00FB0FBE">
        <w:rPr>
          <w:b/>
          <w:bCs/>
          <w:sz w:val="22"/>
          <w:szCs w:val="22"/>
          <w:lang w:eastAsia="ja-JP"/>
        </w:rPr>
        <w:t xml:space="preserve">: </w:t>
      </w:r>
      <w:r w:rsidR="00D06F99" w:rsidRPr="00FB0FBE">
        <w:rPr>
          <w:b/>
          <w:bCs/>
          <w:sz w:val="22"/>
          <w:szCs w:val="22"/>
          <w:lang w:eastAsia="ja-JP"/>
        </w:rPr>
        <w:t xml:space="preserve">To maintain the </w:t>
      </w:r>
      <w:r w:rsidR="005131B7" w:rsidRPr="00FB0FBE">
        <w:rPr>
          <w:b/>
          <w:bCs/>
          <w:sz w:val="22"/>
          <w:szCs w:val="22"/>
          <w:lang w:eastAsia="ja-JP"/>
        </w:rPr>
        <w:t>existing use cases of BWP mechanism and distinguish them from the new use case of BWP, i.e., beam switching in NTN, the number of configured DL/UL BWPS for NTN UE need to be increased.</w:t>
      </w:r>
    </w:p>
    <w:p w:rsidR="005131B7" w:rsidRDefault="009E5872" w:rsidP="00933D4C">
      <w:pPr>
        <w:rPr>
          <w:b/>
          <w:bCs/>
          <w:sz w:val="22"/>
          <w:szCs w:val="22"/>
          <w:lang w:eastAsia="ja-JP"/>
        </w:rPr>
      </w:pPr>
      <w:r w:rsidRPr="00FB0FBE">
        <w:rPr>
          <w:b/>
          <w:bCs/>
          <w:sz w:val="22"/>
          <w:szCs w:val="22"/>
          <w:lang w:eastAsia="ja-JP"/>
        </w:rPr>
        <w:t>Proposal 2: RAN1 should increase the number of configured DL and UL BWPs for NTN UE.</w:t>
      </w:r>
    </w:p>
    <w:p w:rsidR="00FC0536" w:rsidRPr="00FB0FBE" w:rsidRDefault="00FC0536" w:rsidP="00FC0536">
      <w:pPr>
        <w:pStyle w:val="Heading2"/>
        <w:rPr>
          <w:lang w:eastAsia="ja-JP"/>
        </w:rPr>
      </w:pPr>
      <w:r>
        <w:rPr>
          <w:lang w:eastAsia="ja-JP"/>
        </w:rPr>
        <w:t>Issue 1</w:t>
      </w:r>
    </w:p>
    <w:p w:rsidR="005131B7" w:rsidRPr="00FB0FBE" w:rsidRDefault="005131B7" w:rsidP="00FF3E60">
      <w:pPr>
        <w:rPr>
          <w:sz w:val="22"/>
          <w:szCs w:val="22"/>
          <w:lang w:eastAsia="ja-JP"/>
        </w:rPr>
      </w:pPr>
      <w:r w:rsidRPr="00FB0FBE">
        <w:rPr>
          <w:sz w:val="22"/>
          <w:szCs w:val="22"/>
          <w:lang w:eastAsia="ja-JP"/>
        </w:rPr>
        <w:t xml:space="preserve">Another issue is related to the indication of beam switching. </w:t>
      </w:r>
      <w:r w:rsidR="00933D4C" w:rsidRPr="00FB0FBE">
        <w:rPr>
          <w:sz w:val="22"/>
          <w:szCs w:val="22"/>
          <w:lang w:eastAsia="ja-JP"/>
        </w:rPr>
        <w:t xml:space="preserve">In the current 5G NR specifications, beam switching is indicated via transmission configuration indicator (TCI) in DCI or MAC CE. </w:t>
      </w:r>
      <w:r w:rsidR="008D7CCA" w:rsidRPr="00FB0FBE">
        <w:rPr>
          <w:sz w:val="22"/>
          <w:szCs w:val="22"/>
          <w:lang w:eastAsia="ja-JP"/>
        </w:rPr>
        <w:t>The association of</w:t>
      </w:r>
      <w:r w:rsidR="00933D4C" w:rsidRPr="00FB0FBE">
        <w:rPr>
          <w:sz w:val="22"/>
          <w:szCs w:val="22"/>
          <w:lang w:eastAsia="ja-JP"/>
        </w:rPr>
        <w:t xml:space="preserve"> each satellite beam to a BWP leads to beam switching via BWP switching. From this perspective it is import</w:t>
      </w:r>
      <w:r w:rsidR="00D24D9B" w:rsidRPr="00FB0FBE">
        <w:rPr>
          <w:sz w:val="22"/>
          <w:szCs w:val="22"/>
          <w:lang w:eastAsia="ja-JP"/>
        </w:rPr>
        <w:t>ant that</w:t>
      </w:r>
      <w:r w:rsidR="00933D4C" w:rsidRPr="00FB0FBE">
        <w:rPr>
          <w:sz w:val="22"/>
          <w:szCs w:val="22"/>
          <w:lang w:eastAsia="ja-JP"/>
        </w:rPr>
        <w:t xml:space="preserve"> a unified approach is adopted for </w:t>
      </w:r>
      <w:r w:rsidR="00FA686E" w:rsidRPr="00FB0FBE">
        <w:rPr>
          <w:sz w:val="22"/>
          <w:szCs w:val="22"/>
          <w:lang w:eastAsia="ja-JP"/>
        </w:rPr>
        <w:t>indication of beam switching in NTN. Furthermore, due to the</w:t>
      </w:r>
      <w:r w:rsidR="00FF3E60">
        <w:rPr>
          <w:sz w:val="22"/>
          <w:szCs w:val="22"/>
          <w:lang w:eastAsia="ja-JP"/>
        </w:rPr>
        <w:t xml:space="preserve"> (implicit)</w:t>
      </w:r>
      <w:r w:rsidR="00FA686E" w:rsidRPr="00FB0FBE">
        <w:rPr>
          <w:sz w:val="22"/>
          <w:szCs w:val="22"/>
          <w:lang w:eastAsia="ja-JP"/>
        </w:rPr>
        <w:t xml:space="preserve"> association of beams and BWPs </w:t>
      </w:r>
      <w:r w:rsidR="006B5C33" w:rsidRPr="00FB0FBE">
        <w:rPr>
          <w:sz w:val="22"/>
          <w:szCs w:val="22"/>
          <w:lang w:eastAsia="ja-JP"/>
        </w:rPr>
        <w:t xml:space="preserve">in NTN, </w:t>
      </w:r>
      <w:r w:rsidR="00FF3E60">
        <w:rPr>
          <w:sz w:val="22"/>
          <w:szCs w:val="22"/>
          <w:lang w:eastAsia="ja-JP"/>
        </w:rPr>
        <w:t xml:space="preserve">not </w:t>
      </w:r>
      <w:r w:rsidR="006B5C33" w:rsidRPr="00FB0FBE">
        <w:rPr>
          <w:sz w:val="22"/>
          <w:szCs w:val="22"/>
          <w:lang w:eastAsia="ja-JP"/>
        </w:rPr>
        <w:t>every beam switching</w:t>
      </w:r>
      <w:r w:rsidR="00FF3E60">
        <w:rPr>
          <w:sz w:val="22"/>
          <w:szCs w:val="22"/>
          <w:lang w:eastAsia="ja-JP"/>
        </w:rPr>
        <w:t xml:space="preserve"> should</w:t>
      </w:r>
      <w:r w:rsidR="006B5C33" w:rsidRPr="00FB0FBE">
        <w:rPr>
          <w:sz w:val="22"/>
          <w:szCs w:val="22"/>
          <w:lang w:eastAsia="ja-JP"/>
        </w:rPr>
        <w:t xml:space="preserve"> triggers BWP switching. </w:t>
      </w:r>
      <w:r w:rsidR="00FF3E60">
        <w:rPr>
          <w:sz w:val="22"/>
          <w:szCs w:val="22"/>
          <w:lang w:eastAsia="ja-JP"/>
        </w:rPr>
        <w:t>Moreover</w:t>
      </w:r>
      <w:r w:rsidR="006B5C33" w:rsidRPr="00FB0FBE">
        <w:rPr>
          <w:sz w:val="22"/>
          <w:szCs w:val="22"/>
          <w:lang w:eastAsia="ja-JP"/>
        </w:rPr>
        <w:t xml:space="preserve">, not every BWP switching should trigger beam switching. </w:t>
      </w:r>
    </w:p>
    <w:p w:rsidR="00594232" w:rsidRPr="00FB0FBE" w:rsidRDefault="00594232" w:rsidP="00594232">
      <w:pPr>
        <w:rPr>
          <w:b/>
          <w:bCs/>
          <w:sz w:val="22"/>
          <w:szCs w:val="22"/>
          <w:lang w:eastAsia="ja-JP"/>
        </w:rPr>
      </w:pPr>
      <w:r w:rsidRPr="00FB0FBE">
        <w:rPr>
          <w:b/>
          <w:bCs/>
          <w:sz w:val="22"/>
          <w:szCs w:val="22"/>
          <w:lang w:eastAsia="ja-JP"/>
        </w:rPr>
        <w:t>Proposal 3: RAN1 to strive for a unified solution to indicate beam switching in NTN.</w:t>
      </w:r>
    </w:p>
    <w:p w:rsidR="006B5C33" w:rsidRPr="00FB0FBE" w:rsidRDefault="00E87827" w:rsidP="00E87827">
      <w:pPr>
        <w:rPr>
          <w:sz w:val="22"/>
          <w:szCs w:val="22"/>
          <w:lang w:eastAsia="ja-JP"/>
        </w:rPr>
      </w:pPr>
      <w:r>
        <w:rPr>
          <w:sz w:val="22"/>
          <w:szCs w:val="22"/>
          <w:lang w:eastAsia="ja-JP"/>
        </w:rPr>
        <w:t>In order to take Observation 1</w:t>
      </w:r>
      <w:r w:rsidR="00B14361" w:rsidRPr="00FB0FBE">
        <w:rPr>
          <w:sz w:val="22"/>
          <w:szCs w:val="22"/>
          <w:lang w:eastAsia="ja-JP"/>
        </w:rPr>
        <w:t xml:space="preserve"> into account, one potential solution would be to consider NTN spe</w:t>
      </w:r>
      <w:r>
        <w:rPr>
          <w:sz w:val="22"/>
          <w:szCs w:val="22"/>
          <w:lang w:eastAsia="ja-JP"/>
        </w:rPr>
        <w:t>cific BWP (or beam-specific BWPs), or simply associating a subset of the increased number of DL and UL BWPs for NTN</w:t>
      </w:r>
      <w:r w:rsidR="000D092D">
        <w:rPr>
          <w:sz w:val="22"/>
          <w:szCs w:val="22"/>
          <w:lang w:eastAsia="ja-JP"/>
        </w:rPr>
        <w:t xml:space="preserve"> beam switching purpose.</w:t>
      </w:r>
      <w:r w:rsidR="00B14361" w:rsidRPr="00FB0FBE">
        <w:rPr>
          <w:sz w:val="22"/>
          <w:szCs w:val="22"/>
          <w:lang w:eastAsia="ja-JP"/>
        </w:rPr>
        <w:t xml:space="preserve"> In particular, beam-specific BWPs are used for switching</w:t>
      </w:r>
      <w:r w:rsidR="00BD2D5E" w:rsidRPr="00FB0FBE">
        <w:rPr>
          <w:sz w:val="22"/>
          <w:szCs w:val="22"/>
          <w:lang w:eastAsia="ja-JP"/>
        </w:rPr>
        <w:t xml:space="preserve"> a</w:t>
      </w:r>
      <w:r w:rsidR="00B14361" w:rsidRPr="00FB0FBE">
        <w:rPr>
          <w:sz w:val="22"/>
          <w:szCs w:val="22"/>
          <w:lang w:eastAsia="ja-JP"/>
        </w:rPr>
        <w:t xml:space="preserve"> BWP triggered for bea</w:t>
      </w:r>
      <w:r w:rsidR="00B154AC" w:rsidRPr="00FB0FBE">
        <w:rPr>
          <w:sz w:val="22"/>
          <w:szCs w:val="22"/>
          <w:lang w:eastAsia="ja-JP"/>
        </w:rPr>
        <w:t xml:space="preserve">m switching purposes, while non beam-specific BWPs, as defined in NR specifications, are used for BWP switching not related to beam switching. </w:t>
      </w:r>
    </w:p>
    <w:p w:rsidR="00B154AC" w:rsidRPr="00FB0FBE" w:rsidRDefault="00B154AC" w:rsidP="00B14361">
      <w:pPr>
        <w:rPr>
          <w:b/>
          <w:bCs/>
          <w:sz w:val="22"/>
          <w:szCs w:val="22"/>
          <w:lang w:eastAsia="ja-JP"/>
        </w:rPr>
      </w:pPr>
      <w:r w:rsidRPr="00FB0FBE">
        <w:rPr>
          <w:b/>
          <w:bCs/>
          <w:sz w:val="22"/>
          <w:szCs w:val="22"/>
          <w:lang w:eastAsia="ja-JP"/>
        </w:rPr>
        <w:t xml:space="preserve">Proposal </w:t>
      </w:r>
      <w:r w:rsidR="00CE5B53" w:rsidRPr="00FB0FBE">
        <w:rPr>
          <w:b/>
          <w:bCs/>
          <w:sz w:val="22"/>
          <w:szCs w:val="22"/>
          <w:lang w:eastAsia="ja-JP"/>
        </w:rPr>
        <w:t>4</w:t>
      </w:r>
      <w:r w:rsidRPr="00FB0FBE">
        <w:rPr>
          <w:b/>
          <w:bCs/>
          <w:sz w:val="22"/>
          <w:szCs w:val="22"/>
          <w:lang w:eastAsia="ja-JP"/>
        </w:rPr>
        <w:t xml:space="preserve">: RAN1 to introduce beam-specific BWPs for NTN. </w:t>
      </w:r>
    </w:p>
    <w:p w:rsidR="002828D4" w:rsidRPr="00FB0FBE" w:rsidRDefault="00B879AB" w:rsidP="002828D4">
      <w:pPr>
        <w:rPr>
          <w:sz w:val="22"/>
          <w:szCs w:val="22"/>
          <w:lang w:eastAsia="ja-JP"/>
        </w:rPr>
      </w:pPr>
      <w:r w:rsidRPr="00FB0FBE">
        <w:rPr>
          <w:sz w:val="22"/>
          <w:szCs w:val="22"/>
          <w:lang w:eastAsia="ja-JP"/>
        </w:rPr>
        <w:t xml:space="preserve">Another advantage of having beam-specific BWP configuration for NTN UE is that a unified approach for beam switching indication can be adopted. Specifically, </w:t>
      </w:r>
      <w:r w:rsidR="008D7CCA" w:rsidRPr="00FB0FBE">
        <w:rPr>
          <w:sz w:val="22"/>
          <w:szCs w:val="22"/>
          <w:lang w:eastAsia="ja-JP"/>
        </w:rPr>
        <w:t>any indication of beam switching via TCI or MAC CE triggers the beam-specific BWP</w:t>
      </w:r>
      <w:r w:rsidR="002828D4" w:rsidRPr="00FB0FBE">
        <w:rPr>
          <w:sz w:val="22"/>
          <w:szCs w:val="22"/>
          <w:lang w:eastAsia="ja-JP"/>
        </w:rPr>
        <w:t xml:space="preserve"> switch</w:t>
      </w:r>
      <w:r w:rsidR="008D7CCA" w:rsidRPr="00FB0FBE">
        <w:rPr>
          <w:sz w:val="22"/>
          <w:szCs w:val="22"/>
          <w:lang w:eastAsia="ja-JP"/>
        </w:rPr>
        <w:t xml:space="preserve">, while </w:t>
      </w:r>
      <w:r w:rsidR="002828D4" w:rsidRPr="00FB0FBE">
        <w:rPr>
          <w:sz w:val="22"/>
          <w:szCs w:val="22"/>
          <w:lang w:eastAsia="ja-JP"/>
        </w:rPr>
        <w:t>current NR BWP switching indications such as 1-</w:t>
      </w:r>
      <w:r w:rsidR="002828D4" w:rsidRPr="00FB0FBE">
        <w:rPr>
          <w:sz w:val="22"/>
          <w:szCs w:val="22"/>
        </w:rPr>
        <w:t xml:space="preserve"> </w:t>
      </w:r>
      <w:r w:rsidR="002828D4" w:rsidRPr="00FB0FBE">
        <w:rPr>
          <w:sz w:val="22"/>
          <w:szCs w:val="22"/>
          <w:lang w:eastAsia="ja-JP"/>
        </w:rPr>
        <w:t xml:space="preserve">RRC reconfiguration based BWP switch, 2- DCI-based BWP switch, and 3- Timer-based BWP switch can be used for non beam-specific BWP switch. </w:t>
      </w:r>
    </w:p>
    <w:p w:rsidR="004D4BD9" w:rsidRPr="00FB0FBE" w:rsidRDefault="00033A75" w:rsidP="004D4BD9">
      <w:pPr>
        <w:rPr>
          <w:b/>
          <w:bCs/>
          <w:sz w:val="22"/>
          <w:szCs w:val="22"/>
          <w:lang w:eastAsia="ja-JP"/>
        </w:rPr>
      </w:pPr>
      <w:r>
        <w:rPr>
          <w:b/>
          <w:bCs/>
          <w:sz w:val="22"/>
          <w:szCs w:val="22"/>
          <w:lang w:eastAsia="ja-JP"/>
        </w:rPr>
        <w:t>Observation 10</w:t>
      </w:r>
      <w:r w:rsidR="002828D4" w:rsidRPr="00FB0FBE">
        <w:rPr>
          <w:b/>
          <w:bCs/>
          <w:sz w:val="22"/>
          <w:szCs w:val="22"/>
          <w:lang w:eastAsia="ja-JP"/>
        </w:rPr>
        <w:t>: Beam-specific BWP</w:t>
      </w:r>
      <w:r w:rsidR="004D4BD9" w:rsidRPr="00FB0FBE">
        <w:rPr>
          <w:b/>
          <w:bCs/>
          <w:sz w:val="22"/>
          <w:szCs w:val="22"/>
          <w:lang w:eastAsia="ja-JP"/>
        </w:rPr>
        <w:t xml:space="preserve">s consideration for NTN facilitates the design of unified solution for beam switching indication in NTN. </w:t>
      </w:r>
    </w:p>
    <w:p w:rsidR="007C6800" w:rsidRDefault="004D4BD9" w:rsidP="007C6800">
      <w:pPr>
        <w:rPr>
          <w:sz w:val="22"/>
          <w:szCs w:val="22"/>
          <w:lang w:eastAsia="ja-JP"/>
        </w:rPr>
      </w:pPr>
      <w:r w:rsidRPr="00FB0FBE">
        <w:rPr>
          <w:sz w:val="22"/>
          <w:szCs w:val="22"/>
          <w:lang w:eastAsia="ja-JP"/>
        </w:rPr>
        <w:t xml:space="preserve">Another aspect of beam management discussion should clarify the scope of beam management enhancement in the first place. For example, </w:t>
      </w:r>
      <w:r w:rsidR="00151889" w:rsidRPr="00FB0FBE">
        <w:rPr>
          <w:sz w:val="22"/>
          <w:szCs w:val="22"/>
          <w:lang w:eastAsia="ja-JP"/>
        </w:rPr>
        <w:t>it must be clarified if the beam management enhancement is restricted to a single satellite scenario or it should take</w:t>
      </w:r>
      <w:r w:rsidR="00CA5C1D" w:rsidRPr="00FB0FBE">
        <w:rPr>
          <w:sz w:val="22"/>
          <w:szCs w:val="22"/>
          <w:lang w:eastAsia="ja-JP"/>
        </w:rPr>
        <w:t xml:space="preserve"> </w:t>
      </w:r>
      <w:r w:rsidR="007C6800" w:rsidRPr="00FB0FBE">
        <w:rPr>
          <w:sz w:val="22"/>
          <w:szCs w:val="22"/>
          <w:lang w:eastAsia="ja-JP"/>
        </w:rPr>
        <w:t xml:space="preserve">the service link switch associated with other satellites into account. </w:t>
      </w:r>
    </w:p>
    <w:p w:rsidR="00033A75" w:rsidRPr="00033A75" w:rsidRDefault="00033A75" w:rsidP="00033A75">
      <w:pPr>
        <w:rPr>
          <w:b/>
          <w:bCs/>
          <w:sz w:val="22"/>
          <w:szCs w:val="22"/>
          <w:lang w:eastAsia="ja-JP"/>
        </w:rPr>
      </w:pPr>
      <w:r w:rsidRPr="00033A75">
        <w:rPr>
          <w:b/>
          <w:bCs/>
          <w:sz w:val="22"/>
          <w:szCs w:val="22"/>
          <w:lang w:eastAsia="ja-JP"/>
        </w:rPr>
        <w:t>Proposal 5: RAN1 to clarify the scope of beam management enhancement.</w:t>
      </w:r>
    </w:p>
    <w:p w:rsidR="00B154AC" w:rsidRDefault="004D4BD9" w:rsidP="004D4BD9">
      <w:pPr>
        <w:pStyle w:val="Heading1"/>
        <w:rPr>
          <w:lang w:eastAsia="ja-JP"/>
        </w:rPr>
      </w:pPr>
      <w:r>
        <w:rPr>
          <w:lang w:eastAsia="ja-JP"/>
        </w:rPr>
        <w:t xml:space="preserve">Summary </w:t>
      </w:r>
      <w:r w:rsidR="002828D4">
        <w:rPr>
          <w:lang w:eastAsia="ja-JP"/>
        </w:rPr>
        <w:t xml:space="preserve">  </w:t>
      </w:r>
    </w:p>
    <w:p w:rsidR="00033A75" w:rsidRDefault="00033A75" w:rsidP="00033A75">
      <w:pPr>
        <w:rPr>
          <w:b/>
          <w:bCs/>
          <w:sz w:val="22"/>
          <w:szCs w:val="22"/>
        </w:rPr>
      </w:pPr>
      <w:r>
        <w:rPr>
          <w:b/>
          <w:bCs/>
          <w:sz w:val="22"/>
          <w:szCs w:val="22"/>
        </w:rPr>
        <w:t xml:space="preserve">Observation 1: Switching Beam should not always trigger BWP switching and vice versa. </w:t>
      </w:r>
    </w:p>
    <w:p w:rsidR="00033A75" w:rsidRDefault="00033A75" w:rsidP="00033A75">
      <w:pPr>
        <w:rPr>
          <w:b/>
          <w:bCs/>
          <w:sz w:val="22"/>
          <w:szCs w:val="22"/>
        </w:rPr>
      </w:pPr>
      <w:r>
        <w:rPr>
          <w:b/>
          <w:bCs/>
          <w:sz w:val="22"/>
          <w:szCs w:val="22"/>
        </w:rPr>
        <w:t xml:space="preserve">Observation 2: Enhancement of TCI beam switching or introduction of a new beam switching mechanism that assists NTN UE switch BWP is required, taking the constraint of Observation 1 into account. </w:t>
      </w:r>
    </w:p>
    <w:p w:rsidR="00033A75" w:rsidRDefault="00033A75" w:rsidP="00033A75">
      <w:pPr>
        <w:rPr>
          <w:b/>
          <w:bCs/>
          <w:sz w:val="22"/>
          <w:szCs w:val="22"/>
        </w:rPr>
      </w:pPr>
      <w:r>
        <w:rPr>
          <w:b/>
          <w:bCs/>
          <w:sz w:val="22"/>
          <w:szCs w:val="22"/>
        </w:rPr>
        <w:lastRenderedPageBreak/>
        <w:t xml:space="preserve">Observation 3: In NTN, the issue related to joint UL BWP and DL BWP switching in FDD and for FRF &gt; 1 should be discussed after the issue with association between beams and BWP is resolved. </w:t>
      </w:r>
    </w:p>
    <w:p w:rsidR="00033A75" w:rsidRDefault="00033A75" w:rsidP="00033A75">
      <w:pPr>
        <w:rPr>
          <w:b/>
          <w:bCs/>
          <w:sz w:val="22"/>
          <w:szCs w:val="22"/>
        </w:rPr>
      </w:pPr>
      <w:r>
        <w:rPr>
          <w:b/>
          <w:bCs/>
          <w:sz w:val="22"/>
          <w:szCs w:val="22"/>
        </w:rPr>
        <w:t xml:space="preserve">Observation 4: The necessity in BWP switching with data scheduling is not a valid issue. </w:t>
      </w:r>
    </w:p>
    <w:p w:rsidR="00033A75" w:rsidRDefault="00033A75" w:rsidP="00033A75">
      <w:pPr>
        <w:rPr>
          <w:b/>
          <w:bCs/>
          <w:sz w:val="22"/>
          <w:szCs w:val="22"/>
        </w:rPr>
      </w:pPr>
      <w:r>
        <w:rPr>
          <w:b/>
          <w:bCs/>
          <w:sz w:val="22"/>
          <w:szCs w:val="22"/>
        </w:rPr>
        <w:t xml:space="preserve">Observation 5: Re-synchronization after beam/BWP in NTN is not required. </w:t>
      </w:r>
    </w:p>
    <w:p w:rsidR="00033A75" w:rsidRDefault="00033A75" w:rsidP="00033A75">
      <w:pPr>
        <w:rPr>
          <w:b/>
          <w:bCs/>
          <w:sz w:val="22"/>
          <w:szCs w:val="22"/>
        </w:rPr>
      </w:pPr>
      <w:r>
        <w:rPr>
          <w:b/>
          <w:bCs/>
          <w:sz w:val="22"/>
          <w:szCs w:val="22"/>
        </w:rPr>
        <w:t xml:space="preserve">Observation 6: Predictive movement of a satellite should be exploited for </w:t>
      </w:r>
      <w:r w:rsidRPr="00BC7FD6">
        <w:rPr>
          <w:b/>
          <w:bCs/>
          <w:sz w:val="22"/>
          <w:szCs w:val="22"/>
        </w:rPr>
        <w:t xml:space="preserve">beam/BWP management enhancement in NTN. </w:t>
      </w:r>
    </w:p>
    <w:p w:rsidR="00033A75" w:rsidRDefault="00033A75" w:rsidP="00033A75">
      <w:pPr>
        <w:rPr>
          <w:rFonts w:asciiTheme="minorBidi" w:hAnsiTheme="minorBidi" w:cstheme="minorBidi"/>
          <w:b/>
          <w:bCs/>
          <w:sz w:val="22"/>
          <w:szCs w:val="22"/>
          <w:lang w:eastAsia="x-none"/>
        </w:rPr>
      </w:pPr>
      <w:r>
        <w:rPr>
          <w:rFonts w:asciiTheme="minorBidi" w:hAnsiTheme="minorBidi" w:cstheme="minorBidi"/>
          <w:b/>
          <w:bCs/>
          <w:sz w:val="22"/>
          <w:szCs w:val="22"/>
          <w:lang w:eastAsia="x-none"/>
        </w:rPr>
        <w:t xml:space="preserve">Observation 7: It should be clear for NTN UE if the triggered BWP switch is associated with beam switching or none-beam switching procedures. </w:t>
      </w:r>
    </w:p>
    <w:p w:rsidR="00033A75" w:rsidRPr="00187238" w:rsidRDefault="00033A75" w:rsidP="00033A75">
      <w:pPr>
        <w:rPr>
          <w:sz w:val="22"/>
          <w:szCs w:val="22"/>
        </w:rPr>
      </w:pPr>
      <w:r>
        <w:rPr>
          <w:b/>
          <w:bCs/>
          <w:sz w:val="22"/>
          <w:szCs w:val="22"/>
        </w:rPr>
        <w:t xml:space="preserve">Observation 8: UE common signaling for beam/BWP switching can be further studied for a satellite with fixed beams scenario.  </w:t>
      </w:r>
      <w:r>
        <w:rPr>
          <w:sz w:val="22"/>
          <w:szCs w:val="22"/>
        </w:rPr>
        <w:t xml:space="preserve"> </w:t>
      </w:r>
    </w:p>
    <w:p w:rsidR="00033A75" w:rsidRDefault="00033A75" w:rsidP="00033A75">
      <w:pPr>
        <w:rPr>
          <w:b/>
          <w:bCs/>
          <w:sz w:val="22"/>
          <w:szCs w:val="22"/>
          <w:lang w:eastAsia="ja-JP"/>
        </w:rPr>
      </w:pPr>
      <w:r>
        <w:rPr>
          <w:b/>
          <w:bCs/>
          <w:sz w:val="22"/>
          <w:szCs w:val="22"/>
          <w:lang w:eastAsia="ja-JP"/>
        </w:rPr>
        <w:t>Observation 9</w:t>
      </w:r>
      <w:r w:rsidRPr="00FB0FBE">
        <w:rPr>
          <w:b/>
          <w:bCs/>
          <w:sz w:val="22"/>
          <w:szCs w:val="22"/>
          <w:lang w:eastAsia="ja-JP"/>
        </w:rPr>
        <w:t>: To maintain the existing use cases of BWP mechanism and distinguish them from the new use case of BWP, i.e., beam switching in NTN, the number of configured DL/UL BWPS for NTN UE need to be increased.</w:t>
      </w:r>
    </w:p>
    <w:p w:rsidR="00033A75" w:rsidRDefault="00033A75" w:rsidP="00033A75">
      <w:pPr>
        <w:rPr>
          <w:b/>
          <w:bCs/>
          <w:sz w:val="22"/>
          <w:szCs w:val="22"/>
          <w:lang w:eastAsia="ja-JP"/>
        </w:rPr>
      </w:pPr>
      <w:r>
        <w:rPr>
          <w:b/>
          <w:bCs/>
          <w:sz w:val="22"/>
          <w:szCs w:val="22"/>
          <w:lang w:eastAsia="ja-JP"/>
        </w:rPr>
        <w:t>Observation 10</w:t>
      </w:r>
      <w:r w:rsidRPr="00FB0FBE">
        <w:rPr>
          <w:b/>
          <w:bCs/>
          <w:sz w:val="22"/>
          <w:szCs w:val="22"/>
          <w:lang w:eastAsia="ja-JP"/>
        </w:rPr>
        <w:t xml:space="preserve">: Beam-specific BWPs consideration for NTN facilitates the design of unified solution for beam switching indication in NTN. </w:t>
      </w:r>
    </w:p>
    <w:p w:rsidR="00033A75" w:rsidRDefault="00033A75" w:rsidP="00033A75">
      <w:pPr>
        <w:rPr>
          <w:b/>
          <w:bCs/>
          <w:sz w:val="22"/>
          <w:szCs w:val="22"/>
        </w:rPr>
      </w:pPr>
      <w:r>
        <w:rPr>
          <w:b/>
          <w:bCs/>
          <w:sz w:val="22"/>
          <w:szCs w:val="22"/>
        </w:rPr>
        <w:t xml:space="preserve">Proposal 1: In NTN, it is sufficient to switch the BWP when data is scheduled. </w:t>
      </w:r>
    </w:p>
    <w:p w:rsidR="00033A75" w:rsidRDefault="00033A75" w:rsidP="00033A75">
      <w:pPr>
        <w:rPr>
          <w:b/>
          <w:bCs/>
          <w:sz w:val="22"/>
          <w:szCs w:val="22"/>
          <w:lang w:eastAsia="ja-JP"/>
        </w:rPr>
      </w:pPr>
      <w:r w:rsidRPr="00FB0FBE">
        <w:rPr>
          <w:b/>
          <w:bCs/>
          <w:sz w:val="22"/>
          <w:szCs w:val="22"/>
          <w:lang w:eastAsia="ja-JP"/>
        </w:rPr>
        <w:t>Proposal 2: RAN1 should increase the number of configured DL and UL BWPs for NTN UE.</w:t>
      </w:r>
    </w:p>
    <w:p w:rsidR="00033A75" w:rsidRPr="00FB0FBE" w:rsidRDefault="00033A75" w:rsidP="00033A75">
      <w:pPr>
        <w:rPr>
          <w:b/>
          <w:bCs/>
          <w:sz w:val="22"/>
          <w:szCs w:val="22"/>
          <w:lang w:eastAsia="ja-JP"/>
        </w:rPr>
      </w:pPr>
      <w:r w:rsidRPr="00FB0FBE">
        <w:rPr>
          <w:b/>
          <w:bCs/>
          <w:sz w:val="22"/>
          <w:szCs w:val="22"/>
          <w:lang w:eastAsia="ja-JP"/>
        </w:rPr>
        <w:t>Proposal 3: RAN1 to strive for a unified solution to indicate beam switching in NTN.</w:t>
      </w:r>
    </w:p>
    <w:p w:rsidR="00033A75" w:rsidRPr="00FB0FBE" w:rsidRDefault="00033A75" w:rsidP="00033A75">
      <w:pPr>
        <w:rPr>
          <w:b/>
          <w:bCs/>
          <w:sz w:val="22"/>
          <w:szCs w:val="22"/>
          <w:lang w:eastAsia="ja-JP"/>
        </w:rPr>
      </w:pPr>
      <w:r w:rsidRPr="00FB0FBE">
        <w:rPr>
          <w:b/>
          <w:bCs/>
          <w:sz w:val="22"/>
          <w:szCs w:val="22"/>
          <w:lang w:eastAsia="ja-JP"/>
        </w:rPr>
        <w:t xml:space="preserve">Proposal 4: RAN1 to introduce beam-specific BWPs for NTN. </w:t>
      </w:r>
    </w:p>
    <w:p w:rsidR="00033A75" w:rsidRDefault="00033A75" w:rsidP="00033A75">
      <w:pPr>
        <w:rPr>
          <w:b/>
          <w:bCs/>
          <w:sz w:val="22"/>
          <w:szCs w:val="22"/>
          <w:lang w:eastAsia="ja-JP"/>
        </w:rPr>
      </w:pPr>
      <w:r w:rsidRPr="00033A75">
        <w:rPr>
          <w:b/>
          <w:bCs/>
          <w:sz w:val="22"/>
          <w:szCs w:val="22"/>
          <w:lang w:eastAsia="ja-JP"/>
        </w:rPr>
        <w:t>Proposal 5: RAN1 to clarify the scope of beam management enhancement.</w:t>
      </w:r>
    </w:p>
    <w:p w:rsidR="003F0798" w:rsidRDefault="003F0798" w:rsidP="003F0798">
      <w:pPr>
        <w:pStyle w:val="Heading1"/>
      </w:pPr>
      <w:r>
        <w:t xml:space="preserve">References </w:t>
      </w:r>
    </w:p>
    <w:p w:rsidR="008F5739" w:rsidRDefault="003F0798" w:rsidP="003F0798">
      <w:pPr>
        <w:pStyle w:val="Reference"/>
        <w:numPr>
          <w:ilvl w:val="0"/>
          <w:numId w:val="15"/>
        </w:numPr>
        <w:tabs>
          <w:tab w:val="left" w:pos="1701"/>
        </w:tabs>
        <w:overflowPunct/>
        <w:autoSpaceDE/>
        <w:autoSpaceDN/>
        <w:adjustRightInd/>
        <w:jc w:val="left"/>
        <w:textAlignment w:val="auto"/>
      </w:pPr>
      <w:bookmarkStart w:id="1" w:name="_Ref528322197"/>
      <w:r>
        <w:t>3GPP TR 38.821 v16.0</w:t>
      </w:r>
      <w:r w:rsidRPr="003C1A5F">
        <w:t>.</w:t>
      </w:r>
      <w:r>
        <w:t>0 (2019-12)</w:t>
      </w:r>
      <w:r w:rsidRPr="003C1A5F">
        <w:t>: 3rd Generation Partnership Project; Technical Specification Group Radio Access Network; Solutions for NR to support non-terrestrial networks (NTN) (Release 16)</w:t>
      </w:r>
      <w:bookmarkEnd w:id="1"/>
      <w:r>
        <w:t xml:space="preserve"> </w:t>
      </w:r>
    </w:p>
    <w:p w:rsidR="001E521A" w:rsidRDefault="001E521A" w:rsidP="001E521A">
      <w:pPr>
        <w:pStyle w:val="Reference"/>
        <w:numPr>
          <w:ilvl w:val="0"/>
          <w:numId w:val="15"/>
        </w:numPr>
        <w:tabs>
          <w:tab w:val="left" w:pos="1701"/>
        </w:tabs>
        <w:overflowPunct/>
        <w:autoSpaceDE/>
        <w:autoSpaceDN/>
        <w:adjustRightInd/>
        <w:jc w:val="left"/>
        <w:textAlignment w:val="auto"/>
      </w:pPr>
      <w:r w:rsidRPr="001E521A">
        <w:t>R1-2009736</w:t>
      </w:r>
      <w:r>
        <w:t>, “</w:t>
      </w:r>
      <w:r w:rsidRPr="001E521A">
        <w:t>Summary #3 of 8.4.4 Other Aspects of NR-NTN</w:t>
      </w:r>
      <w:r>
        <w:t>”, RAN1#103-e, Nov. 2020.</w:t>
      </w:r>
      <w:r w:rsidR="00B200D5">
        <w:t xml:space="preserve"> </w:t>
      </w:r>
    </w:p>
    <w:p w:rsidR="00B200D5" w:rsidRPr="008F5739" w:rsidRDefault="00B200D5" w:rsidP="004417B8">
      <w:pPr>
        <w:pStyle w:val="Reference"/>
        <w:numPr>
          <w:ilvl w:val="0"/>
          <w:numId w:val="15"/>
        </w:numPr>
        <w:tabs>
          <w:tab w:val="left" w:pos="1701"/>
        </w:tabs>
        <w:overflowPunct/>
        <w:autoSpaceDE/>
        <w:autoSpaceDN/>
        <w:adjustRightInd/>
        <w:jc w:val="left"/>
        <w:textAlignment w:val="auto"/>
      </w:pPr>
      <w:r>
        <w:t>3GPP TR 38.</w:t>
      </w:r>
      <w:r w:rsidR="004417B8">
        <w:t>300 v16.4</w:t>
      </w:r>
      <w:r w:rsidRPr="003C1A5F">
        <w:t>.</w:t>
      </w:r>
      <w:r w:rsidR="004417B8">
        <w:t>0 (2020</w:t>
      </w:r>
      <w:r>
        <w:t>-12)</w:t>
      </w:r>
      <w:r w:rsidRPr="003C1A5F">
        <w:t xml:space="preserve">: 3rd Generation Partnership Project; Technical Specification Group Radio Access Network; </w:t>
      </w:r>
      <w:r w:rsidR="004417B8">
        <w:t>NR; NR and NG-RAN Overall Description; Stage 2 (Release 16)</w:t>
      </w:r>
    </w:p>
    <w:p w:rsidR="00361B7F" w:rsidRPr="008F5739" w:rsidRDefault="000B11B8" w:rsidP="00795E1D">
      <w:pPr>
        <w:rPr>
          <w:sz w:val="24"/>
          <w:szCs w:val="24"/>
        </w:rPr>
      </w:pPr>
      <w:r>
        <w:rPr>
          <w:sz w:val="24"/>
          <w:szCs w:val="24"/>
        </w:rPr>
        <w:t xml:space="preserve"> </w:t>
      </w:r>
    </w:p>
    <w:sectPr w:rsidR="00361B7F" w:rsidRPr="008F5739">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466A1BC7"/>
    <w:multiLevelType w:val="multilevel"/>
    <w:tmpl w:val="0FF6C13A"/>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2268"/>
        </w:tabs>
        <w:ind w:left="2268" w:hanging="1008"/>
      </w:p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
  </w:num>
  <w:num w:numId="3">
    <w:abstractNumId w:val="5"/>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2"/>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B7F"/>
    <w:rsid w:val="00033A75"/>
    <w:rsid w:val="0004518C"/>
    <w:rsid w:val="000725DB"/>
    <w:rsid w:val="0008521D"/>
    <w:rsid w:val="000B11B8"/>
    <w:rsid w:val="000D092D"/>
    <w:rsid w:val="00107027"/>
    <w:rsid w:val="00117A40"/>
    <w:rsid w:val="001358D6"/>
    <w:rsid w:val="00151889"/>
    <w:rsid w:val="00161F99"/>
    <w:rsid w:val="0017328F"/>
    <w:rsid w:val="00187238"/>
    <w:rsid w:val="0019007A"/>
    <w:rsid w:val="001A7667"/>
    <w:rsid w:val="001B18D0"/>
    <w:rsid w:val="001B217A"/>
    <w:rsid w:val="001B70FB"/>
    <w:rsid w:val="001D1F19"/>
    <w:rsid w:val="001E521A"/>
    <w:rsid w:val="002513FF"/>
    <w:rsid w:val="002828D4"/>
    <w:rsid w:val="002A3C82"/>
    <w:rsid w:val="002B610E"/>
    <w:rsid w:val="002C0BFF"/>
    <w:rsid w:val="002E09DD"/>
    <w:rsid w:val="00335AB4"/>
    <w:rsid w:val="00361B7F"/>
    <w:rsid w:val="00372EFB"/>
    <w:rsid w:val="0037465D"/>
    <w:rsid w:val="00392527"/>
    <w:rsid w:val="003F0798"/>
    <w:rsid w:val="004417B8"/>
    <w:rsid w:val="004D4BD9"/>
    <w:rsid w:val="005131B7"/>
    <w:rsid w:val="00524997"/>
    <w:rsid w:val="00536DFE"/>
    <w:rsid w:val="00550E62"/>
    <w:rsid w:val="00580E2A"/>
    <w:rsid w:val="00594232"/>
    <w:rsid w:val="00596F5C"/>
    <w:rsid w:val="00606967"/>
    <w:rsid w:val="00627ADD"/>
    <w:rsid w:val="006543F1"/>
    <w:rsid w:val="00673C32"/>
    <w:rsid w:val="00680263"/>
    <w:rsid w:val="00686D8D"/>
    <w:rsid w:val="006B5C33"/>
    <w:rsid w:val="006C6A4C"/>
    <w:rsid w:val="006F42A0"/>
    <w:rsid w:val="007920B2"/>
    <w:rsid w:val="00795E1D"/>
    <w:rsid w:val="007A5EDF"/>
    <w:rsid w:val="007A7641"/>
    <w:rsid w:val="007C6800"/>
    <w:rsid w:val="007D69B4"/>
    <w:rsid w:val="007E2037"/>
    <w:rsid w:val="007F0C4F"/>
    <w:rsid w:val="00857D11"/>
    <w:rsid w:val="0086587C"/>
    <w:rsid w:val="00884493"/>
    <w:rsid w:val="008D7CCA"/>
    <w:rsid w:val="008F11C4"/>
    <w:rsid w:val="008F5739"/>
    <w:rsid w:val="00933D4C"/>
    <w:rsid w:val="00982B0D"/>
    <w:rsid w:val="009E5872"/>
    <w:rsid w:val="009E59C2"/>
    <w:rsid w:val="00A02643"/>
    <w:rsid w:val="00A743DC"/>
    <w:rsid w:val="00AA0BDD"/>
    <w:rsid w:val="00AB2633"/>
    <w:rsid w:val="00AC7860"/>
    <w:rsid w:val="00AE0523"/>
    <w:rsid w:val="00AF762E"/>
    <w:rsid w:val="00B14361"/>
    <w:rsid w:val="00B154AC"/>
    <w:rsid w:val="00B200D5"/>
    <w:rsid w:val="00B40B58"/>
    <w:rsid w:val="00B879AB"/>
    <w:rsid w:val="00BC7FD6"/>
    <w:rsid w:val="00BD2D5E"/>
    <w:rsid w:val="00BE5F15"/>
    <w:rsid w:val="00C31A17"/>
    <w:rsid w:val="00CA5C1D"/>
    <w:rsid w:val="00CD32A1"/>
    <w:rsid w:val="00CE5B53"/>
    <w:rsid w:val="00D06F99"/>
    <w:rsid w:val="00D1146D"/>
    <w:rsid w:val="00D24D9B"/>
    <w:rsid w:val="00D423C3"/>
    <w:rsid w:val="00E0379E"/>
    <w:rsid w:val="00E23ADB"/>
    <w:rsid w:val="00E37CA2"/>
    <w:rsid w:val="00E42A06"/>
    <w:rsid w:val="00E4724F"/>
    <w:rsid w:val="00E563B0"/>
    <w:rsid w:val="00E82DE7"/>
    <w:rsid w:val="00E87827"/>
    <w:rsid w:val="00F21C2D"/>
    <w:rsid w:val="00F23A23"/>
    <w:rsid w:val="00F53CC3"/>
    <w:rsid w:val="00F815D3"/>
    <w:rsid w:val="00FA6333"/>
    <w:rsid w:val="00FA686E"/>
    <w:rsid w:val="00FB0FBE"/>
    <w:rsid w:val="00FB1A01"/>
    <w:rsid w:val="00FB1C72"/>
    <w:rsid w:val="00FC0536"/>
    <w:rsid w:val="00FC70AD"/>
    <w:rsid w:val="00FF3E6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7B48CD-5EAF-4C9C-9AFD-5F1B4BA4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de-D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3D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743DC"/>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A743D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743DC"/>
    <w:pPr>
      <w:numPr>
        <w:ilvl w:val="2"/>
      </w:numPr>
      <w:spacing w:before="120"/>
      <w:outlineLvl w:val="2"/>
    </w:pPr>
    <w:rPr>
      <w:sz w:val="28"/>
      <w:szCs w:val="28"/>
    </w:rPr>
  </w:style>
  <w:style w:type="paragraph" w:styleId="Heading4">
    <w:name w:val="heading 4"/>
    <w:basedOn w:val="Heading3"/>
    <w:next w:val="Normal"/>
    <w:link w:val="Heading4Char"/>
    <w:qFormat/>
    <w:rsid w:val="00A743DC"/>
    <w:pPr>
      <w:numPr>
        <w:ilvl w:val="3"/>
      </w:numPr>
      <w:outlineLvl w:val="3"/>
    </w:pPr>
    <w:rPr>
      <w:sz w:val="24"/>
      <w:szCs w:val="24"/>
    </w:rPr>
  </w:style>
  <w:style w:type="paragraph" w:styleId="Heading5">
    <w:name w:val="heading 5"/>
    <w:basedOn w:val="Heading4"/>
    <w:next w:val="Normal"/>
    <w:link w:val="Heading5Char"/>
    <w:qFormat/>
    <w:rsid w:val="00A743DC"/>
    <w:pPr>
      <w:numPr>
        <w:ilvl w:val="4"/>
      </w:numPr>
      <w:outlineLvl w:val="4"/>
    </w:pPr>
    <w:rPr>
      <w:sz w:val="22"/>
      <w:szCs w:val="22"/>
    </w:rPr>
  </w:style>
  <w:style w:type="paragraph" w:styleId="Heading6">
    <w:name w:val="heading 6"/>
    <w:basedOn w:val="Normal"/>
    <w:next w:val="Normal"/>
    <w:link w:val="Heading6Char"/>
    <w:qFormat/>
    <w:rsid w:val="00A743DC"/>
    <w:pPr>
      <w:keepNext/>
      <w:keepLines/>
      <w:numPr>
        <w:ilvl w:val="5"/>
        <w:numId w:val="12"/>
      </w:numPr>
      <w:tabs>
        <w:tab w:val="left" w:pos="432"/>
      </w:tabs>
      <w:spacing w:before="120"/>
      <w:outlineLvl w:val="5"/>
    </w:pPr>
    <w:rPr>
      <w:rFonts w:cs="Arial"/>
    </w:rPr>
  </w:style>
  <w:style w:type="paragraph" w:styleId="Heading7">
    <w:name w:val="heading 7"/>
    <w:basedOn w:val="Normal"/>
    <w:next w:val="Normal"/>
    <w:link w:val="Heading7Char"/>
    <w:qFormat/>
    <w:rsid w:val="00A743DC"/>
    <w:pPr>
      <w:keepNext/>
      <w:keepLines/>
      <w:numPr>
        <w:ilvl w:val="6"/>
        <w:numId w:val="12"/>
      </w:numPr>
      <w:tabs>
        <w:tab w:val="left" w:pos="432"/>
      </w:tabs>
      <w:spacing w:before="120"/>
      <w:outlineLvl w:val="6"/>
    </w:pPr>
    <w:rPr>
      <w:rFonts w:cs="Arial"/>
    </w:rPr>
  </w:style>
  <w:style w:type="paragraph" w:styleId="Heading8">
    <w:name w:val="heading 8"/>
    <w:basedOn w:val="Heading7"/>
    <w:next w:val="Normal"/>
    <w:link w:val="Heading8Char"/>
    <w:qFormat/>
    <w:rsid w:val="00A743DC"/>
    <w:pPr>
      <w:numPr>
        <w:ilvl w:val="7"/>
      </w:numPr>
      <w:outlineLvl w:val="7"/>
    </w:pPr>
  </w:style>
  <w:style w:type="paragraph" w:styleId="Heading9">
    <w:name w:val="heading 9"/>
    <w:basedOn w:val="Heading8"/>
    <w:next w:val="Normal"/>
    <w:link w:val="Heading9Char"/>
    <w:qFormat/>
    <w:rsid w:val="00A743DC"/>
    <w:pPr>
      <w:numPr>
        <w:ilvl w:val="8"/>
      </w:numPr>
      <w:tabs>
        <w:tab w:val="clear" w:pos="432"/>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743DC"/>
    <w:rPr>
      <w:rFonts w:ascii="Arial" w:eastAsia="Times New Roman" w:hAnsi="Arial" w:cs="Arial"/>
      <w:sz w:val="32"/>
      <w:szCs w:val="32"/>
      <w:lang w:val="en-GB" w:eastAsia="zh-CN"/>
    </w:rPr>
  </w:style>
  <w:style w:type="character" w:customStyle="1" w:styleId="Heading1Char">
    <w:name w:val="Heading 1 Char"/>
    <w:basedOn w:val="DefaultParagraphFont"/>
    <w:link w:val="Heading1"/>
    <w:rsid w:val="00A743DC"/>
    <w:rPr>
      <w:rFonts w:ascii="Arial" w:eastAsia="Times New Roman" w:hAnsi="Arial" w:cs="Arial"/>
      <w:sz w:val="36"/>
      <w:szCs w:val="36"/>
      <w:lang w:val="en-GB" w:eastAsia="zh-CN"/>
    </w:rPr>
  </w:style>
  <w:style w:type="paragraph" w:customStyle="1" w:styleId="3GPPHeader">
    <w:name w:val="3GPP_Header"/>
    <w:basedOn w:val="Normal"/>
    <w:rsid w:val="00A743DC"/>
    <w:pPr>
      <w:tabs>
        <w:tab w:val="left" w:pos="1701"/>
        <w:tab w:val="right" w:pos="9639"/>
      </w:tabs>
      <w:spacing w:after="240"/>
    </w:pPr>
    <w:rPr>
      <w:b/>
      <w:sz w:val="24"/>
    </w:rPr>
  </w:style>
  <w:style w:type="paragraph" w:styleId="List">
    <w:name w:val="List"/>
    <w:basedOn w:val="Normal"/>
    <w:uiPriority w:val="99"/>
    <w:semiHidden/>
    <w:unhideWhenUsed/>
    <w:rsid w:val="00A743DC"/>
    <w:pPr>
      <w:ind w:left="360" w:hanging="360"/>
      <w:contextualSpacing/>
    </w:pPr>
  </w:style>
  <w:style w:type="paragraph" w:customStyle="1" w:styleId="B1">
    <w:name w:val="B1"/>
    <w:basedOn w:val="List"/>
    <w:link w:val="B1Char"/>
    <w:qFormat/>
    <w:rsid w:val="00A743DC"/>
    <w:pPr>
      <w:overflowPunct/>
      <w:autoSpaceDE/>
      <w:autoSpaceDN/>
      <w:adjustRightInd/>
      <w:spacing w:after="180"/>
      <w:ind w:left="568" w:hanging="284"/>
      <w:contextualSpacing w:val="0"/>
      <w:jc w:val="left"/>
      <w:textAlignment w:val="auto"/>
    </w:pPr>
    <w:rPr>
      <w:rFonts w:ascii="Times New Roman" w:hAnsi="Times New Roman"/>
      <w:lang w:eastAsia="en-US"/>
    </w:rPr>
  </w:style>
  <w:style w:type="character" w:customStyle="1" w:styleId="B1Char">
    <w:name w:val="B1 Char"/>
    <w:link w:val="B1"/>
    <w:locked/>
    <w:rsid w:val="00A743DC"/>
    <w:rPr>
      <w:rFonts w:ascii="Times New Roman" w:eastAsia="Times New Roman" w:hAnsi="Times New Roman"/>
      <w:lang w:val="en-GB"/>
    </w:rPr>
  </w:style>
  <w:style w:type="paragraph" w:styleId="List2">
    <w:name w:val="List 2"/>
    <w:basedOn w:val="Normal"/>
    <w:uiPriority w:val="99"/>
    <w:semiHidden/>
    <w:unhideWhenUsed/>
    <w:rsid w:val="00A743DC"/>
    <w:pPr>
      <w:ind w:left="720" w:hanging="360"/>
      <w:contextualSpacing/>
    </w:pPr>
  </w:style>
  <w:style w:type="paragraph" w:customStyle="1" w:styleId="B2">
    <w:name w:val="B2"/>
    <w:basedOn w:val="List2"/>
    <w:link w:val="B2Char"/>
    <w:qFormat/>
    <w:rsid w:val="00A743DC"/>
    <w:pPr>
      <w:overflowPunct/>
      <w:autoSpaceDE/>
      <w:autoSpaceDN/>
      <w:adjustRightInd/>
      <w:spacing w:after="180"/>
      <w:ind w:left="851" w:hanging="284"/>
      <w:contextualSpacing w:val="0"/>
      <w:jc w:val="left"/>
      <w:textAlignment w:val="auto"/>
    </w:pPr>
    <w:rPr>
      <w:rFonts w:ascii="Times New Roman" w:hAnsi="Times New Roman"/>
      <w:lang w:eastAsia="en-US"/>
    </w:rPr>
  </w:style>
  <w:style w:type="character" w:customStyle="1" w:styleId="B2Char">
    <w:name w:val="B2 Char"/>
    <w:link w:val="B2"/>
    <w:qFormat/>
    <w:rsid w:val="00A743DC"/>
    <w:rPr>
      <w:rFonts w:ascii="Times New Roman" w:eastAsia="Times New Roman" w:hAnsi="Times New Roman"/>
      <w:lang w:val="en-GB"/>
    </w:rPr>
  </w:style>
  <w:style w:type="paragraph" w:styleId="BalloonText">
    <w:name w:val="Balloon Text"/>
    <w:basedOn w:val="Normal"/>
    <w:link w:val="BalloonTextChar"/>
    <w:uiPriority w:val="99"/>
    <w:semiHidden/>
    <w:unhideWhenUsed/>
    <w:rsid w:val="00A743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3DC"/>
    <w:rPr>
      <w:rFonts w:ascii="Segoe UI" w:eastAsia="Times New Roman" w:hAnsi="Segoe UI" w:cs="Segoe UI"/>
      <w:sz w:val="18"/>
      <w:szCs w:val="18"/>
      <w:lang w:val="en-GB" w:eastAsia="zh-CN"/>
    </w:rPr>
  </w:style>
  <w:style w:type="character" w:styleId="CommentReference">
    <w:name w:val="annotation reference"/>
    <w:basedOn w:val="DefaultParagraphFont"/>
    <w:uiPriority w:val="99"/>
    <w:semiHidden/>
    <w:unhideWhenUsed/>
    <w:rsid w:val="00A743DC"/>
    <w:rPr>
      <w:sz w:val="21"/>
      <w:szCs w:val="21"/>
    </w:rPr>
  </w:style>
  <w:style w:type="paragraph" w:styleId="CommentText">
    <w:name w:val="annotation text"/>
    <w:basedOn w:val="Normal"/>
    <w:link w:val="CommentTextChar"/>
    <w:uiPriority w:val="99"/>
    <w:semiHidden/>
    <w:unhideWhenUsed/>
    <w:rsid w:val="00A743DC"/>
    <w:pPr>
      <w:jc w:val="left"/>
    </w:pPr>
  </w:style>
  <w:style w:type="character" w:customStyle="1" w:styleId="CommentTextChar">
    <w:name w:val="Comment Text Char"/>
    <w:basedOn w:val="DefaultParagraphFont"/>
    <w:link w:val="CommentText"/>
    <w:uiPriority w:val="99"/>
    <w:semiHidden/>
    <w:rsid w:val="00A743DC"/>
    <w:rPr>
      <w:rFonts w:ascii="Arial" w:eastAsia="Times New Roman" w:hAnsi="Arial"/>
      <w:lang w:val="en-GB" w:eastAsia="zh-CN"/>
    </w:rPr>
  </w:style>
  <w:style w:type="paragraph" w:styleId="CommentSubject">
    <w:name w:val="annotation subject"/>
    <w:basedOn w:val="CommentText"/>
    <w:next w:val="CommentText"/>
    <w:link w:val="CommentSubjectChar"/>
    <w:uiPriority w:val="99"/>
    <w:semiHidden/>
    <w:unhideWhenUsed/>
    <w:rsid w:val="00A743DC"/>
    <w:rPr>
      <w:b/>
      <w:bCs/>
    </w:rPr>
  </w:style>
  <w:style w:type="character" w:customStyle="1" w:styleId="CommentSubjectChar">
    <w:name w:val="Comment Subject Char"/>
    <w:basedOn w:val="CommentTextChar"/>
    <w:link w:val="CommentSubject"/>
    <w:uiPriority w:val="99"/>
    <w:semiHidden/>
    <w:rsid w:val="00A743DC"/>
    <w:rPr>
      <w:rFonts w:ascii="Arial" w:eastAsia="Times New Roman" w:hAnsi="Arial"/>
      <w:b/>
      <w:bCs/>
      <w:lang w:val="en-GB" w:eastAsia="zh-CN"/>
    </w:rPr>
  </w:style>
  <w:style w:type="paragraph" w:customStyle="1" w:styleId="Doc-text2">
    <w:name w:val="Doc-text2"/>
    <w:basedOn w:val="Normal"/>
    <w:link w:val="Doc-text2Char"/>
    <w:qFormat/>
    <w:rsid w:val="00A743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743DC"/>
    <w:rPr>
      <w:rFonts w:ascii="Arial" w:eastAsia="MS Mincho" w:hAnsi="Arial"/>
      <w:szCs w:val="24"/>
      <w:lang w:val="en-GB" w:eastAsia="en-GB"/>
    </w:rPr>
  </w:style>
  <w:style w:type="paragraph" w:customStyle="1" w:styleId="EmailDiscussion">
    <w:name w:val="EmailDiscussion"/>
    <w:basedOn w:val="Normal"/>
    <w:next w:val="Normal"/>
    <w:link w:val="EmailDiscussionChar"/>
    <w:qFormat/>
    <w:rsid w:val="00A743DC"/>
    <w:pPr>
      <w:numPr>
        <w:numId w:val="3"/>
      </w:numPr>
      <w:overflowPunct/>
      <w:autoSpaceDE/>
      <w:autoSpaceDN/>
      <w:adjustRightInd/>
      <w:spacing w:before="40" w:after="0"/>
      <w:jc w:val="left"/>
      <w:textAlignment w:val="auto"/>
    </w:pPr>
    <w:rPr>
      <w:rFonts w:eastAsiaTheme="minorHAnsi" w:cs="Arial"/>
      <w:b/>
      <w:sz w:val="22"/>
      <w:szCs w:val="24"/>
      <w:lang w:eastAsia="en-GB"/>
    </w:rPr>
  </w:style>
  <w:style w:type="character" w:customStyle="1" w:styleId="EmailDiscussionChar">
    <w:name w:val="EmailDiscussion Char"/>
    <w:link w:val="EmailDiscussion"/>
    <w:locked/>
    <w:rsid w:val="00A743DC"/>
    <w:rPr>
      <w:rFonts w:ascii="Arial" w:hAnsi="Arial" w:cs="Arial"/>
      <w:b/>
      <w:sz w:val="22"/>
      <w:szCs w:val="24"/>
      <w:lang w:val="en-GB" w:eastAsia="en-GB"/>
    </w:rPr>
  </w:style>
  <w:style w:type="paragraph" w:customStyle="1" w:styleId="EmailDiscussion2">
    <w:name w:val="EmailDiscussion2"/>
    <w:basedOn w:val="Normal"/>
    <w:qFormat/>
    <w:rsid w:val="00A743DC"/>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Header">
    <w:name w:val="header"/>
    <w:basedOn w:val="Normal"/>
    <w:link w:val="HeaderChar"/>
    <w:uiPriority w:val="99"/>
    <w:unhideWhenUsed/>
    <w:rsid w:val="00A743DC"/>
    <w:pPr>
      <w:tabs>
        <w:tab w:val="center" w:pos="4680"/>
        <w:tab w:val="right" w:pos="9360"/>
      </w:tabs>
      <w:spacing w:after="0"/>
    </w:pPr>
  </w:style>
  <w:style w:type="character" w:customStyle="1" w:styleId="HeaderChar">
    <w:name w:val="Header Char"/>
    <w:basedOn w:val="DefaultParagraphFont"/>
    <w:link w:val="Header"/>
    <w:uiPriority w:val="99"/>
    <w:rsid w:val="00A743DC"/>
    <w:rPr>
      <w:rFonts w:ascii="Arial" w:eastAsia="Times New Roman" w:hAnsi="Arial"/>
      <w:lang w:val="en-GB" w:eastAsia="zh-CN"/>
    </w:rPr>
  </w:style>
  <w:style w:type="paragraph" w:styleId="Footer">
    <w:name w:val="footer"/>
    <w:basedOn w:val="Header"/>
    <w:link w:val="FooterChar"/>
    <w:semiHidden/>
    <w:rsid w:val="00A743DC"/>
    <w:pPr>
      <w:widowControl w:val="0"/>
      <w:jc w:val="center"/>
    </w:pPr>
    <w:rPr>
      <w:rFonts w:cs="Arial"/>
      <w:b/>
      <w:bCs/>
      <w:i/>
      <w:iCs/>
      <w:sz w:val="18"/>
      <w:szCs w:val="18"/>
      <w:lang w:val="en-US"/>
    </w:rPr>
  </w:style>
  <w:style w:type="character" w:customStyle="1" w:styleId="FooterChar">
    <w:name w:val="Footer Char"/>
    <w:basedOn w:val="DefaultParagraphFont"/>
    <w:link w:val="Footer"/>
    <w:semiHidden/>
    <w:rsid w:val="00A743DC"/>
    <w:rPr>
      <w:rFonts w:ascii="Arial" w:eastAsia="Times New Roman" w:hAnsi="Arial" w:cs="Arial"/>
      <w:b/>
      <w:bCs/>
      <w:i/>
      <w:iCs/>
      <w:sz w:val="18"/>
      <w:szCs w:val="18"/>
      <w:lang w:val="en-US" w:eastAsia="zh-CN"/>
    </w:rPr>
  </w:style>
  <w:style w:type="character" w:customStyle="1" w:styleId="Heading3Char">
    <w:name w:val="Heading 3 Char"/>
    <w:basedOn w:val="DefaultParagraphFont"/>
    <w:link w:val="Heading3"/>
    <w:rsid w:val="00A743DC"/>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743D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743DC"/>
    <w:rPr>
      <w:rFonts w:ascii="Arial" w:eastAsia="Times New Roman" w:hAnsi="Arial" w:cs="Arial"/>
      <w:sz w:val="22"/>
      <w:szCs w:val="22"/>
      <w:lang w:val="en-GB" w:eastAsia="zh-CN"/>
    </w:rPr>
  </w:style>
  <w:style w:type="character" w:customStyle="1" w:styleId="Heading6Char">
    <w:name w:val="Heading 6 Char"/>
    <w:basedOn w:val="DefaultParagraphFont"/>
    <w:link w:val="Heading6"/>
    <w:rsid w:val="00A743DC"/>
    <w:rPr>
      <w:rFonts w:ascii="Arial" w:eastAsia="Times New Roman" w:hAnsi="Arial" w:cs="Arial"/>
      <w:lang w:val="en-GB" w:eastAsia="zh-CN"/>
    </w:rPr>
  </w:style>
  <w:style w:type="character" w:customStyle="1" w:styleId="Heading7Char">
    <w:name w:val="Heading 7 Char"/>
    <w:basedOn w:val="DefaultParagraphFont"/>
    <w:link w:val="Heading7"/>
    <w:rsid w:val="00A743DC"/>
    <w:rPr>
      <w:rFonts w:ascii="Arial" w:eastAsia="Times New Roman" w:hAnsi="Arial" w:cs="Arial"/>
      <w:lang w:val="en-GB" w:eastAsia="zh-CN"/>
    </w:rPr>
  </w:style>
  <w:style w:type="character" w:customStyle="1" w:styleId="Heading8Char">
    <w:name w:val="Heading 8 Char"/>
    <w:basedOn w:val="DefaultParagraphFont"/>
    <w:link w:val="Heading8"/>
    <w:rsid w:val="00A743DC"/>
    <w:rPr>
      <w:rFonts w:ascii="Arial" w:eastAsia="Times New Roman" w:hAnsi="Arial" w:cs="Arial"/>
      <w:lang w:val="en-GB" w:eastAsia="zh-CN"/>
    </w:rPr>
  </w:style>
  <w:style w:type="character" w:customStyle="1" w:styleId="Heading9Char">
    <w:name w:val="Heading 9 Char"/>
    <w:basedOn w:val="DefaultParagraphFont"/>
    <w:link w:val="Heading9"/>
    <w:rsid w:val="00A743DC"/>
    <w:rPr>
      <w:rFonts w:ascii="Arial" w:eastAsia="Times New Roman" w:hAnsi="Arial" w:cs="Arial"/>
      <w:lang w:val="en-GB" w:eastAsia="zh-CN"/>
    </w:rPr>
  </w:style>
  <w:style w:type="character" w:styleId="Hyperlink">
    <w:name w:val="Hyperlink"/>
    <w:semiHidden/>
    <w:unhideWhenUsed/>
    <w:qFormat/>
    <w:rsid w:val="00A743DC"/>
    <w:rPr>
      <w:color w:val="0000FF"/>
      <w:u w:val="single"/>
    </w:rPr>
  </w:style>
  <w:style w:type="paragraph" w:styleId="ListParagraph">
    <w:name w:val="List Paragraph"/>
    <w:basedOn w:val="Normal"/>
    <w:link w:val="ListParagraphChar"/>
    <w:uiPriority w:val="34"/>
    <w:qFormat/>
    <w:rsid w:val="00A743DC"/>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link w:val="ListParagraph"/>
    <w:uiPriority w:val="34"/>
    <w:qFormat/>
    <w:locked/>
    <w:rsid w:val="00A743DC"/>
    <w:rPr>
      <w:rFonts w:asciiTheme="minorHAnsi" w:hAnsiTheme="minorHAnsi" w:cstheme="minorBidi"/>
      <w:sz w:val="22"/>
      <w:szCs w:val="22"/>
      <w:lang w:val="en-US"/>
    </w:rPr>
  </w:style>
  <w:style w:type="character" w:customStyle="1" w:styleId="ListParagraphChar1">
    <w:name w:val="List Paragraph Char1"/>
    <w:uiPriority w:val="34"/>
    <w:qFormat/>
    <w:locked/>
    <w:rsid w:val="00A743DC"/>
    <w:rPr>
      <w:rFonts w:ascii="Calibri" w:eastAsia="Calibri" w:hAnsi="Calibri"/>
      <w:sz w:val="22"/>
      <w:szCs w:val="22"/>
      <w:lang w:val="en-US" w:eastAsia="en-US"/>
    </w:rPr>
  </w:style>
  <w:style w:type="paragraph" w:styleId="NoSpacing">
    <w:name w:val="No Spacing"/>
    <w:uiPriority w:val="1"/>
    <w:qFormat/>
    <w:rsid w:val="00A743DC"/>
    <w:pPr>
      <w:overflowPunct w:val="0"/>
      <w:autoSpaceDE w:val="0"/>
      <w:autoSpaceDN w:val="0"/>
      <w:adjustRightInd w:val="0"/>
      <w:jc w:val="both"/>
      <w:textAlignment w:val="baseline"/>
    </w:pPr>
    <w:rPr>
      <w:rFonts w:ascii="Arial" w:hAnsi="Arial"/>
      <w:lang w:val="en-GB" w:eastAsia="zh-CN"/>
    </w:rPr>
  </w:style>
  <w:style w:type="paragraph" w:styleId="NormalWeb">
    <w:name w:val="Normal (Web)"/>
    <w:basedOn w:val="Normal"/>
    <w:uiPriority w:val="99"/>
    <w:semiHidden/>
    <w:unhideWhenUsed/>
    <w:rsid w:val="00A743DC"/>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US" w:eastAsia="en-US"/>
    </w:rPr>
  </w:style>
  <w:style w:type="character" w:styleId="PageNumber">
    <w:name w:val="page number"/>
    <w:semiHidden/>
    <w:rsid w:val="00A743DC"/>
  </w:style>
  <w:style w:type="paragraph" w:customStyle="1" w:styleId="Reference">
    <w:name w:val="Reference"/>
    <w:basedOn w:val="Normal"/>
    <w:rsid w:val="00A743DC"/>
    <w:pPr>
      <w:numPr>
        <w:numId w:val="13"/>
      </w:numPr>
    </w:pPr>
  </w:style>
  <w:style w:type="character" w:styleId="Strong">
    <w:name w:val="Strong"/>
    <w:basedOn w:val="DefaultParagraphFont"/>
    <w:uiPriority w:val="22"/>
    <w:qFormat/>
    <w:rsid w:val="00A743DC"/>
    <w:rPr>
      <w:b/>
      <w:bCs/>
    </w:rPr>
  </w:style>
  <w:style w:type="table" w:styleId="TableGrid">
    <w:name w:val="Table Grid"/>
    <w:basedOn w:val="TableNormal"/>
    <w:uiPriority w:val="39"/>
    <w:rsid w:val="00A743DC"/>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A743DC"/>
    <w:pPr>
      <w:keepNext/>
      <w:keepLines/>
      <w:overflowPunct/>
      <w:autoSpaceDE/>
      <w:autoSpaceDN/>
      <w:adjustRightInd/>
      <w:spacing w:after="0"/>
      <w:jc w:val="left"/>
      <w:textAlignment w:val="auto"/>
    </w:pPr>
    <w:rPr>
      <w:sz w:val="18"/>
      <w:lang w:eastAsia="en-US"/>
    </w:rPr>
  </w:style>
  <w:style w:type="character" w:customStyle="1" w:styleId="TALChar">
    <w:name w:val="TAL Char"/>
    <w:link w:val="TAL"/>
    <w:qFormat/>
    <w:rsid w:val="00A743DC"/>
    <w:rPr>
      <w:rFonts w:ascii="Arial" w:eastAsia="Times New Roman" w:hAnsi="Arial"/>
      <w:sz w:val="18"/>
      <w:lang w:val="en-GB"/>
    </w:rPr>
  </w:style>
  <w:style w:type="paragraph" w:customStyle="1" w:styleId="TH">
    <w:name w:val="TH"/>
    <w:basedOn w:val="Normal"/>
    <w:link w:val="THChar"/>
    <w:qFormat/>
    <w:rsid w:val="00A743DC"/>
    <w:pPr>
      <w:keepNext/>
      <w:keepLines/>
      <w:overflowPunct/>
      <w:autoSpaceDE/>
      <w:autoSpaceDN/>
      <w:adjustRightInd/>
      <w:spacing w:before="60" w:after="180"/>
      <w:jc w:val="center"/>
      <w:textAlignment w:val="auto"/>
    </w:pPr>
    <w:rPr>
      <w:b/>
      <w:lang w:eastAsia="en-US"/>
    </w:rPr>
  </w:style>
  <w:style w:type="character" w:customStyle="1" w:styleId="THChar">
    <w:name w:val="TH Char"/>
    <w:link w:val="TH"/>
    <w:qFormat/>
    <w:rsid w:val="00A743DC"/>
    <w:rPr>
      <w:rFonts w:ascii="Arial" w:eastAsia="Times New Roman" w:hAnsi="Arial"/>
      <w:b/>
      <w:lang w:val="en-GB"/>
    </w:rPr>
  </w:style>
  <w:style w:type="paragraph" w:customStyle="1" w:styleId="TdocHeader2">
    <w:name w:val="Tdoc_Header_2"/>
    <w:basedOn w:val="Normal"/>
    <w:rsid w:val="00361B7F"/>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CRCoverPage">
    <w:name w:val="CR Cover Page"/>
    <w:rsid w:val="00361B7F"/>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850638">
      <w:bodyDiv w:val="1"/>
      <w:marLeft w:val="0"/>
      <w:marRight w:val="0"/>
      <w:marTop w:val="0"/>
      <w:marBottom w:val="0"/>
      <w:divBdr>
        <w:top w:val="none" w:sz="0" w:space="0" w:color="auto"/>
        <w:left w:val="none" w:sz="0" w:space="0" w:color="auto"/>
        <w:bottom w:val="none" w:sz="0" w:space="0" w:color="auto"/>
        <w:right w:val="none" w:sz="0" w:space="0" w:color="auto"/>
      </w:divBdr>
    </w:div>
    <w:div w:id="459306079">
      <w:bodyDiv w:val="1"/>
      <w:marLeft w:val="0"/>
      <w:marRight w:val="0"/>
      <w:marTop w:val="0"/>
      <w:marBottom w:val="0"/>
      <w:divBdr>
        <w:top w:val="none" w:sz="0" w:space="0" w:color="auto"/>
        <w:left w:val="none" w:sz="0" w:space="0" w:color="auto"/>
        <w:bottom w:val="none" w:sz="0" w:space="0" w:color="auto"/>
        <w:right w:val="none" w:sz="0" w:space="0" w:color="auto"/>
      </w:divBdr>
    </w:div>
    <w:div w:id="1162896165">
      <w:bodyDiv w:val="1"/>
      <w:marLeft w:val="0"/>
      <w:marRight w:val="0"/>
      <w:marTop w:val="0"/>
      <w:marBottom w:val="0"/>
      <w:divBdr>
        <w:top w:val="none" w:sz="0" w:space="0" w:color="auto"/>
        <w:left w:val="none" w:sz="0" w:space="0" w:color="auto"/>
        <w:bottom w:val="none" w:sz="0" w:space="0" w:color="auto"/>
        <w:right w:val="none" w:sz="0" w:space="0" w:color="auto"/>
      </w:divBdr>
    </w:div>
    <w:div w:id="1548685439">
      <w:bodyDiv w:val="1"/>
      <w:marLeft w:val="0"/>
      <w:marRight w:val="0"/>
      <w:marTop w:val="0"/>
      <w:marBottom w:val="0"/>
      <w:divBdr>
        <w:top w:val="none" w:sz="0" w:space="0" w:color="auto"/>
        <w:left w:val="none" w:sz="0" w:space="0" w:color="auto"/>
        <w:bottom w:val="none" w:sz="0" w:space="0" w:color="auto"/>
        <w:right w:val="none" w:sz="0" w:space="0" w:color="auto"/>
      </w:divBdr>
    </w:div>
    <w:div w:id="1866365720">
      <w:bodyDiv w:val="1"/>
      <w:marLeft w:val="0"/>
      <w:marRight w:val="0"/>
      <w:marTop w:val="0"/>
      <w:marBottom w:val="0"/>
      <w:divBdr>
        <w:top w:val="none" w:sz="0" w:space="0" w:color="auto"/>
        <w:left w:val="none" w:sz="0" w:space="0" w:color="auto"/>
        <w:bottom w:val="none" w:sz="0" w:space="0" w:color="auto"/>
        <w:right w:val="none" w:sz="0" w:space="0" w:color="auto"/>
      </w:divBdr>
    </w:div>
    <w:div w:id="208374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87776-EC2D-4D81-8CB1-7EBF58015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1826</Words>
  <Characters>10411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12213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Ahmadzadeh, Arman</dc:creator>
  <cp:keywords/>
  <dc:description/>
  <cp:lastModifiedBy>Ahmadzadeh, Arman</cp:lastModifiedBy>
  <cp:revision>3</cp:revision>
  <dcterms:created xsi:type="dcterms:W3CDTF">2021-05-10T13:57:00Z</dcterms:created>
  <dcterms:modified xsi:type="dcterms:W3CDTF">2021-05-11T17:13:00Z</dcterms:modified>
</cp:coreProperties>
</file>